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703E" w14:textId="77777777" w:rsidR="00250200" w:rsidRDefault="004D4A20">
      <w:pPr>
        <w:spacing w:after="0" w:line="259" w:lineRule="auto"/>
        <w:ind w:left="0" w:right="138" w:firstLine="0"/>
        <w:jc w:val="right"/>
      </w:pPr>
      <w:proofErr w:type="spellStart"/>
      <w:r>
        <w:rPr>
          <w:rFonts w:ascii="Arial" w:eastAsia="Arial" w:hAnsi="Arial" w:cs="Arial"/>
          <w:sz w:val="24"/>
        </w:rPr>
        <w:t>RC.001</w:t>
      </w:r>
      <w:proofErr w:type="spellEnd"/>
      <w:r>
        <w:rPr>
          <w:rFonts w:ascii="Arial" w:eastAsia="Arial" w:hAnsi="Arial" w:cs="Arial"/>
          <w:sz w:val="24"/>
        </w:rPr>
        <w:t xml:space="preserve"> </w:t>
      </w:r>
    </w:p>
    <w:p w14:paraId="7FEECE97" w14:textId="77777777" w:rsidR="00250200" w:rsidRDefault="004D4A20">
      <w:pPr>
        <w:spacing w:after="90" w:line="259" w:lineRule="auto"/>
        <w:ind w:left="-2" w:firstLine="0"/>
      </w:pPr>
      <w:r>
        <w:rPr>
          <w:noProof/>
        </w:rPr>
        <w:drawing>
          <wp:inline distT="0" distB="0" distL="0" distR="0" wp14:anchorId="785A6BFC" wp14:editId="3FEDA3E0">
            <wp:extent cx="1579753" cy="53467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1579753" cy="534670"/>
                    </a:xfrm>
                    <a:prstGeom prst="rect">
                      <a:avLst/>
                    </a:prstGeom>
                  </pic:spPr>
                </pic:pic>
              </a:graphicData>
            </a:graphic>
          </wp:inline>
        </w:drawing>
      </w:r>
      <w:r>
        <w:rPr>
          <w:rFonts w:ascii="Times New Roman" w:eastAsia="Times New Roman" w:hAnsi="Times New Roman" w:cs="Times New Roman"/>
          <w:sz w:val="24"/>
        </w:rPr>
        <w:t xml:space="preserve"> </w:t>
      </w:r>
    </w:p>
    <w:p w14:paraId="32571963" w14:textId="2106DB1F" w:rsidR="00250200" w:rsidRDefault="004D4A20" w:rsidP="00BD5C4A">
      <w:pPr>
        <w:spacing w:after="5" w:line="225" w:lineRule="auto"/>
        <w:ind w:left="90" w:firstLine="3064"/>
      </w:pPr>
      <w:r>
        <w:rPr>
          <w:rFonts w:ascii="Arial" w:eastAsia="Arial" w:hAnsi="Arial" w:cs="Arial"/>
          <w:sz w:val="24"/>
        </w:rPr>
        <w:t xml:space="preserve">Patient Responsible Balance Billing and Collections Policy </w:t>
      </w:r>
      <w:proofErr w:type="spellStart"/>
      <w:r>
        <w:rPr>
          <w:rFonts w:ascii="Arial" w:eastAsia="Arial" w:hAnsi="Arial" w:cs="Arial"/>
          <w:b/>
          <w:sz w:val="24"/>
        </w:rPr>
        <w:t>Policy</w:t>
      </w:r>
      <w:proofErr w:type="spellEnd"/>
      <w:r>
        <w:rPr>
          <w:rFonts w:ascii="Arial" w:eastAsia="Arial" w:hAnsi="Arial" w:cs="Arial"/>
          <w:b/>
          <w:sz w:val="24"/>
        </w:rPr>
        <w:t xml:space="preserve"> Name: </w:t>
      </w:r>
      <w:r w:rsidR="00BD5C4A">
        <w:rPr>
          <w:rFonts w:ascii="Arial" w:eastAsia="Arial" w:hAnsi="Arial" w:cs="Arial"/>
          <w:b/>
          <w:sz w:val="24"/>
        </w:rPr>
        <w:t xml:space="preserve">                      </w:t>
      </w:r>
      <w:r>
        <w:rPr>
          <w:rFonts w:ascii="Arial" w:eastAsia="Arial" w:hAnsi="Arial" w:cs="Arial"/>
          <w:sz w:val="24"/>
        </w:rPr>
        <w:t>and Procedure</w:t>
      </w:r>
      <w:r>
        <w:rPr>
          <w:rFonts w:ascii="Arial" w:eastAsia="Arial" w:hAnsi="Arial" w:cs="Arial"/>
          <w:b/>
          <w:sz w:val="24"/>
        </w:rPr>
        <w:t xml:space="preserve"> </w:t>
      </w:r>
    </w:p>
    <w:p w14:paraId="5275C9AC" w14:textId="77777777" w:rsidR="00250200" w:rsidRDefault="004D4A20">
      <w:pPr>
        <w:spacing w:after="35" w:line="259" w:lineRule="auto"/>
        <w:ind w:left="105" w:right="-136" w:firstLine="0"/>
      </w:pPr>
      <w:r>
        <w:rPr>
          <w:noProof/>
          <w:sz w:val="22"/>
        </w:rPr>
        <mc:AlternateContent>
          <mc:Choice Requires="wpg">
            <w:drawing>
              <wp:inline distT="0" distB="0" distL="0" distR="0" wp14:anchorId="1AB48FA2" wp14:editId="1BF709BA">
                <wp:extent cx="6055741" cy="924941"/>
                <wp:effectExtent l="0" t="0" r="0" b="0"/>
                <wp:docPr id="4929" name="Group 4929"/>
                <wp:cNvGraphicFramePr/>
                <a:graphic xmlns:a="http://schemas.openxmlformats.org/drawingml/2006/main">
                  <a:graphicData uri="http://schemas.microsoft.com/office/word/2010/wordprocessingGroup">
                    <wpg:wgp>
                      <wpg:cNvGrpSpPr/>
                      <wpg:grpSpPr>
                        <a:xfrm>
                          <a:off x="0" y="0"/>
                          <a:ext cx="6055741" cy="924941"/>
                          <a:chOff x="0" y="0"/>
                          <a:chExt cx="6055741" cy="924941"/>
                        </a:xfrm>
                      </wpg:grpSpPr>
                      <wps:wsp>
                        <wps:cNvPr id="18" name="Rectangle 18"/>
                        <wps:cNvSpPr/>
                        <wps:spPr>
                          <a:xfrm>
                            <a:off x="0" y="60499"/>
                            <a:ext cx="2181371" cy="190519"/>
                          </a:xfrm>
                          <a:prstGeom prst="rect">
                            <a:avLst/>
                          </a:prstGeom>
                          <a:ln>
                            <a:noFill/>
                          </a:ln>
                        </wps:spPr>
                        <wps:txbx>
                          <w:txbxContent>
                            <w:p w14:paraId="0FD6AC64" w14:textId="77777777" w:rsidR="00250200" w:rsidRDefault="004D4A20">
                              <w:pPr>
                                <w:spacing w:after="160" w:line="259" w:lineRule="auto"/>
                                <w:ind w:left="0" w:firstLine="0"/>
                              </w:pPr>
                              <w:r>
                                <w:rPr>
                                  <w:rFonts w:ascii="Arial" w:eastAsia="Arial" w:hAnsi="Arial" w:cs="Arial"/>
                                  <w:b/>
                                  <w:sz w:val="24"/>
                                </w:rPr>
                                <w:t>Policy Content Owner:</w:t>
                              </w:r>
                            </w:p>
                          </w:txbxContent>
                        </wps:txbx>
                        <wps:bodyPr horzOverflow="overflow" vert="horz" lIns="0" tIns="0" rIns="0" bIns="0" rtlCol="0">
                          <a:noAutofit/>
                        </wps:bodyPr>
                      </wps:wsp>
                      <wps:wsp>
                        <wps:cNvPr id="19" name="Rectangle 19"/>
                        <wps:cNvSpPr/>
                        <wps:spPr>
                          <a:xfrm>
                            <a:off x="1640205" y="60499"/>
                            <a:ext cx="56348" cy="190519"/>
                          </a:xfrm>
                          <a:prstGeom prst="rect">
                            <a:avLst/>
                          </a:prstGeom>
                          <a:ln>
                            <a:noFill/>
                          </a:ln>
                        </wps:spPr>
                        <wps:txbx>
                          <w:txbxContent>
                            <w:p w14:paraId="5307B520" w14:textId="77777777" w:rsidR="00250200" w:rsidRDefault="004D4A20">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20" name="Rectangle 20"/>
                        <wps:cNvSpPr/>
                        <wps:spPr>
                          <a:xfrm>
                            <a:off x="1945386" y="60499"/>
                            <a:ext cx="3138280" cy="190519"/>
                          </a:xfrm>
                          <a:prstGeom prst="rect">
                            <a:avLst/>
                          </a:prstGeom>
                          <a:ln>
                            <a:noFill/>
                          </a:ln>
                        </wps:spPr>
                        <wps:txbx>
                          <w:txbxContent>
                            <w:p w14:paraId="7C20EFFC" w14:textId="77777777" w:rsidR="00250200" w:rsidRDefault="004D4A20">
                              <w:pPr>
                                <w:spacing w:after="160" w:line="259" w:lineRule="auto"/>
                                <w:ind w:left="0" w:firstLine="0"/>
                              </w:pPr>
                              <w:r>
                                <w:rPr>
                                  <w:rFonts w:ascii="Arial" w:eastAsia="Arial" w:hAnsi="Arial" w:cs="Arial"/>
                                  <w:sz w:val="24"/>
                                </w:rPr>
                                <w:t>System Director of Revenue Cycle</w:t>
                              </w:r>
                            </w:p>
                          </w:txbxContent>
                        </wps:txbx>
                        <wps:bodyPr horzOverflow="overflow" vert="horz" lIns="0" tIns="0" rIns="0" bIns="0" rtlCol="0">
                          <a:noAutofit/>
                        </wps:bodyPr>
                      </wps:wsp>
                      <wps:wsp>
                        <wps:cNvPr id="21" name="Rectangle 21"/>
                        <wps:cNvSpPr/>
                        <wps:spPr>
                          <a:xfrm>
                            <a:off x="4310380" y="60499"/>
                            <a:ext cx="56348" cy="190519"/>
                          </a:xfrm>
                          <a:prstGeom prst="rect">
                            <a:avLst/>
                          </a:prstGeom>
                          <a:ln>
                            <a:noFill/>
                          </a:ln>
                        </wps:spPr>
                        <wps:txbx>
                          <w:txbxContent>
                            <w:p w14:paraId="1C511BB5" w14:textId="77777777" w:rsidR="00250200" w:rsidRDefault="004D4A20">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6134" name="Shape 6134"/>
                        <wps:cNvSpPr/>
                        <wps:spPr>
                          <a:xfrm>
                            <a:off x="1878711" y="0"/>
                            <a:ext cx="4177030" cy="9525"/>
                          </a:xfrm>
                          <a:custGeom>
                            <a:avLst/>
                            <a:gdLst/>
                            <a:ahLst/>
                            <a:cxnLst/>
                            <a:rect l="0" t="0" r="0" b="0"/>
                            <a:pathLst>
                              <a:path w="4177030" h="9525">
                                <a:moveTo>
                                  <a:pt x="0" y="0"/>
                                </a:moveTo>
                                <a:lnTo>
                                  <a:pt x="4177030" y="0"/>
                                </a:lnTo>
                                <a:lnTo>
                                  <a:pt x="417703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Rectangle 23"/>
                        <wps:cNvSpPr/>
                        <wps:spPr>
                          <a:xfrm>
                            <a:off x="0" y="289480"/>
                            <a:ext cx="1738489" cy="190519"/>
                          </a:xfrm>
                          <a:prstGeom prst="rect">
                            <a:avLst/>
                          </a:prstGeom>
                          <a:ln>
                            <a:noFill/>
                          </a:ln>
                        </wps:spPr>
                        <wps:txbx>
                          <w:txbxContent>
                            <w:p w14:paraId="255C8D83" w14:textId="77777777" w:rsidR="00250200" w:rsidRDefault="004D4A20">
                              <w:pPr>
                                <w:spacing w:after="160" w:line="259" w:lineRule="auto"/>
                                <w:ind w:left="0" w:firstLine="0"/>
                              </w:pPr>
                              <w:r>
                                <w:rPr>
                                  <w:rFonts w:ascii="Arial" w:eastAsia="Arial" w:hAnsi="Arial" w:cs="Arial"/>
                                  <w:b/>
                                  <w:sz w:val="24"/>
                                </w:rPr>
                                <w:t>Last Review Date:</w:t>
                              </w:r>
                            </w:p>
                          </w:txbxContent>
                        </wps:txbx>
                        <wps:bodyPr horzOverflow="overflow" vert="horz" lIns="0" tIns="0" rIns="0" bIns="0" rtlCol="0">
                          <a:noAutofit/>
                        </wps:bodyPr>
                      </wps:wsp>
                      <wps:wsp>
                        <wps:cNvPr id="24" name="Rectangle 24"/>
                        <wps:cNvSpPr/>
                        <wps:spPr>
                          <a:xfrm>
                            <a:off x="1306449" y="289480"/>
                            <a:ext cx="56348" cy="190519"/>
                          </a:xfrm>
                          <a:prstGeom prst="rect">
                            <a:avLst/>
                          </a:prstGeom>
                          <a:ln>
                            <a:noFill/>
                          </a:ln>
                        </wps:spPr>
                        <wps:txbx>
                          <w:txbxContent>
                            <w:p w14:paraId="1F7AB07D" w14:textId="77777777" w:rsidR="00250200" w:rsidRDefault="004D4A20">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25" name="Rectangle 25"/>
                        <wps:cNvSpPr/>
                        <wps:spPr>
                          <a:xfrm>
                            <a:off x="1945386" y="289480"/>
                            <a:ext cx="1011433" cy="190519"/>
                          </a:xfrm>
                          <a:prstGeom prst="rect">
                            <a:avLst/>
                          </a:prstGeom>
                          <a:ln>
                            <a:noFill/>
                          </a:ln>
                        </wps:spPr>
                        <wps:txbx>
                          <w:txbxContent>
                            <w:p w14:paraId="3C516F34" w14:textId="77777777" w:rsidR="00250200" w:rsidRDefault="004D4A20">
                              <w:pPr>
                                <w:spacing w:after="160" w:line="259" w:lineRule="auto"/>
                                <w:ind w:left="0" w:firstLine="0"/>
                              </w:pPr>
                              <w:r>
                                <w:rPr>
                                  <w:rFonts w:ascii="Arial" w:eastAsia="Arial" w:hAnsi="Arial" w:cs="Arial"/>
                                  <w:sz w:val="24"/>
                                </w:rPr>
                                <w:t>05/07/2025</w:t>
                              </w:r>
                            </w:p>
                          </w:txbxContent>
                        </wps:txbx>
                        <wps:bodyPr horzOverflow="overflow" vert="horz" lIns="0" tIns="0" rIns="0" bIns="0" rtlCol="0">
                          <a:noAutofit/>
                        </wps:bodyPr>
                      </wps:wsp>
                      <wps:wsp>
                        <wps:cNvPr id="26" name="Rectangle 26"/>
                        <wps:cNvSpPr/>
                        <wps:spPr>
                          <a:xfrm>
                            <a:off x="2708275" y="289480"/>
                            <a:ext cx="56348" cy="190519"/>
                          </a:xfrm>
                          <a:prstGeom prst="rect">
                            <a:avLst/>
                          </a:prstGeom>
                          <a:ln>
                            <a:noFill/>
                          </a:ln>
                        </wps:spPr>
                        <wps:txbx>
                          <w:txbxContent>
                            <w:p w14:paraId="4F4DC24F" w14:textId="77777777" w:rsidR="00250200" w:rsidRDefault="004D4A20">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6135" name="Shape 6135"/>
                        <wps:cNvSpPr/>
                        <wps:spPr>
                          <a:xfrm>
                            <a:off x="1878711" y="228981"/>
                            <a:ext cx="4177030" cy="9525"/>
                          </a:xfrm>
                          <a:custGeom>
                            <a:avLst/>
                            <a:gdLst/>
                            <a:ahLst/>
                            <a:cxnLst/>
                            <a:rect l="0" t="0" r="0" b="0"/>
                            <a:pathLst>
                              <a:path w="4177030" h="9525">
                                <a:moveTo>
                                  <a:pt x="0" y="0"/>
                                </a:moveTo>
                                <a:lnTo>
                                  <a:pt x="4177030" y="0"/>
                                </a:lnTo>
                                <a:lnTo>
                                  <a:pt x="417703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0" y="518333"/>
                            <a:ext cx="1624171" cy="190519"/>
                          </a:xfrm>
                          <a:prstGeom prst="rect">
                            <a:avLst/>
                          </a:prstGeom>
                          <a:ln>
                            <a:noFill/>
                          </a:ln>
                        </wps:spPr>
                        <wps:txbx>
                          <w:txbxContent>
                            <w:p w14:paraId="0A1BA3CE" w14:textId="77777777" w:rsidR="00250200" w:rsidRDefault="004D4A20">
                              <w:pPr>
                                <w:spacing w:after="160" w:line="259" w:lineRule="auto"/>
                                <w:ind w:left="0" w:firstLine="0"/>
                              </w:pPr>
                              <w:r>
                                <w:rPr>
                                  <w:rFonts w:ascii="Arial" w:eastAsia="Arial" w:hAnsi="Arial" w:cs="Arial"/>
                                  <w:b/>
                                  <w:sz w:val="24"/>
                                </w:rPr>
                                <w:t>Policy Approver:</w:t>
                              </w:r>
                            </w:p>
                          </w:txbxContent>
                        </wps:txbx>
                        <wps:bodyPr horzOverflow="overflow" vert="horz" lIns="0" tIns="0" rIns="0" bIns="0" rtlCol="0">
                          <a:noAutofit/>
                        </wps:bodyPr>
                      </wps:wsp>
                      <wps:wsp>
                        <wps:cNvPr id="29" name="Rectangle 29"/>
                        <wps:cNvSpPr/>
                        <wps:spPr>
                          <a:xfrm>
                            <a:off x="1220470" y="518333"/>
                            <a:ext cx="56348" cy="190519"/>
                          </a:xfrm>
                          <a:prstGeom prst="rect">
                            <a:avLst/>
                          </a:prstGeom>
                          <a:ln>
                            <a:noFill/>
                          </a:ln>
                        </wps:spPr>
                        <wps:txbx>
                          <w:txbxContent>
                            <w:p w14:paraId="660A4F14" w14:textId="77777777" w:rsidR="00250200" w:rsidRDefault="004D4A20">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30" name="Rectangle 30"/>
                        <wps:cNvSpPr/>
                        <wps:spPr>
                          <a:xfrm>
                            <a:off x="1945386" y="518333"/>
                            <a:ext cx="2079012" cy="190519"/>
                          </a:xfrm>
                          <a:prstGeom prst="rect">
                            <a:avLst/>
                          </a:prstGeom>
                          <a:ln>
                            <a:noFill/>
                          </a:ln>
                        </wps:spPr>
                        <wps:txbx>
                          <w:txbxContent>
                            <w:p w14:paraId="7625F176" w14:textId="77777777" w:rsidR="00250200" w:rsidRDefault="004D4A20">
                              <w:pPr>
                                <w:spacing w:after="160" w:line="259" w:lineRule="auto"/>
                                <w:ind w:left="0" w:firstLine="0"/>
                              </w:pPr>
                              <w:r>
                                <w:rPr>
                                  <w:rFonts w:ascii="Arial" w:eastAsia="Arial" w:hAnsi="Arial" w:cs="Arial"/>
                                  <w:sz w:val="24"/>
                                </w:rPr>
                                <w:t>Chief Financial Officer</w:t>
                              </w:r>
                            </w:p>
                          </w:txbxContent>
                        </wps:txbx>
                        <wps:bodyPr horzOverflow="overflow" vert="horz" lIns="0" tIns="0" rIns="0" bIns="0" rtlCol="0">
                          <a:noAutofit/>
                        </wps:bodyPr>
                      </wps:wsp>
                      <wps:wsp>
                        <wps:cNvPr id="31" name="Rectangle 31"/>
                        <wps:cNvSpPr/>
                        <wps:spPr>
                          <a:xfrm>
                            <a:off x="3509264" y="518333"/>
                            <a:ext cx="56348" cy="190519"/>
                          </a:xfrm>
                          <a:prstGeom prst="rect">
                            <a:avLst/>
                          </a:prstGeom>
                          <a:ln>
                            <a:noFill/>
                          </a:ln>
                        </wps:spPr>
                        <wps:txbx>
                          <w:txbxContent>
                            <w:p w14:paraId="15097CC7" w14:textId="77777777" w:rsidR="00250200" w:rsidRDefault="004D4A20">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6136" name="Shape 6136"/>
                        <wps:cNvSpPr/>
                        <wps:spPr>
                          <a:xfrm>
                            <a:off x="1878711" y="457581"/>
                            <a:ext cx="4177030" cy="9525"/>
                          </a:xfrm>
                          <a:custGeom>
                            <a:avLst/>
                            <a:gdLst/>
                            <a:ahLst/>
                            <a:cxnLst/>
                            <a:rect l="0" t="0" r="0" b="0"/>
                            <a:pathLst>
                              <a:path w="4177030" h="9525">
                                <a:moveTo>
                                  <a:pt x="0" y="0"/>
                                </a:moveTo>
                                <a:lnTo>
                                  <a:pt x="4177030" y="0"/>
                                </a:lnTo>
                                <a:lnTo>
                                  <a:pt x="417703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Rectangle 33"/>
                        <wps:cNvSpPr/>
                        <wps:spPr>
                          <a:xfrm>
                            <a:off x="0" y="746934"/>
                            <a:ext cx="1037580" cy="190519"/>
                          </a:xfrm>
                          <a:prstGeom prst="rect">
                            <a:avLst/>
                          </a:prstGeom>
                          <a:ln>
                            <a:noFill/>
                          </a:ln>
                        </wps:spPr>
                        <wps:txbx>
                          <w:txbxContent>
                            <w:p w14:paraId="530E1C17" w14:textId="77777777" w:rsidR="00250200" w:rsidRDefault="004D4A20">
                              <w:pPr>
                                <w:spacing w:after="160" w:line="259" w:lineRule="auto"/>
                                <w:ind w:left="0" w:firstLine="0"/>
                              </w:pPr>
                              <w:r>
                                <w:rPr>
                                  <w:rFonts w:ascii="Arial" w:eastAsia="Arial" w:hAnsi="Arial" w:cs="Arial"/>
                                  <w:b/>
                                  <w:sz w:val="24"/>
                                </w:rPr>
                                <w:t>Committee</w:t>
                              </w:r>
                            </w:p>
                          </w:txbxContent>
                        </wps:txbx>
                        <wps:bodyPr horzOverflow="overflow" vert="horz" lIns="0" tIns="0" rIns="0" bIns="0" rtlCol="0">
                          <a:noAutofit/>
                        </wps:bodyPr>
                      </wps:wsp>
                      <wps:wsp>
                        <wps:cNvPr id="34" name="Rectangle 34"/>
                        <wps:cNvSpPr/>
                        <wps:spPr>
                          <a:xfrm>
                            <a:off x="782066" y="746934"/>
                            <a:ext cx="56348" cy="190519"/>
                          </a:xfrm>
                          <a:prstGeom prst="rect">
                            <a:avLst/>
                          </a:prstGeom>
                          <a:ln>
                            <a:noFill/>
                          </a:ln>
                        </wps:spPr>
                        <wps:txbx>
                          <w:txbxContent>
                            <w:p w14:paraId="614CB938" w14:textId="77777777" w:rsidR="00250200" w:rsidRDefault="004D4A20">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35" name="Rectangle 35"/>
                        <wps:cNvSpPr/>
                        <wps:spPr>
                          <a:xfrm>
                            <a:off x="1945386" y="746934"/>
                            <a:ext cx="1226489" cy="190519"/>
                          </a:xfrm>
                          <a:prstGeom prst="rect">
                            <a:avLst/>
                          </a:prstGeom>
                          <a:ln>
                            <a:noFill/>
                          </a:ln>
                        </wps:spPr>
                        <wps:txbx>
                          <w:txbxContent>
                            <w:p w14:paraId="2EB40B7E" w14:textId="77777777" w:rsidR="00250200" w:rsidRDefault="004D4A20">
                              <w:pPr>
                                <w:spacing w:after="160" w:line="259" w:lineRule="auto"/>
                                <w:ind w:left="0" w:firstLine="0"/>
                              </w:pPr>
                              <w:r>
                                <w:rPr>
                                  <w:rFonts w:ascii="Arial" w:eastAsia="Arial" w:hAnsi="Arial" w:cs="Arial"/>
                                  <w:sz w:val="24"/>
                                </w:rPr>
                                <w:t>Not Assigned</w:t>
                              </w:r>
                            </w:p>
                          </w:txbxContent>
                        </wps:txbx>
                        <wps:bodyPr horzOverflow="overflow" vert="horz" lIns="0" tIns="0" rIns="0" bIns="0" rtlCol="0">
                          <a:noAutofit/>
                        </wps:bodyPr>
                      </wps:wsp>
                      <wps:wsp>
                        <wps:cNvPr id="36" name="Rectangle 36"/>
                        <wps:cNvSpPr/>
                        <wps:spPr>
                          <a:xfrm>
                            <a:off x="2870581" y="746934"/>
                            <a:ext cx="56348" cy="190519"/>
                          </a:xfrm>
                          <a:prstGeom prst="rect">
                            <a:avLst/>
                          </a:prstGeom>
                          <a:ln>
                            <a:noFill/>
                          </a:ln>
                        </wps:spPr>
                        <wps:txbx>
                          <w:txbxContent>
                            <w:p w14:paraId="73A77BB8" w14:textId="77777777" w:rsidR="00250200" w:rsidRDefault="004D4A20">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6137" name="Shape 6137"/>
                        <wps:cNvSpPr/>
                        <wps:spPr>
                          <a:xfrm>
                            <a:off x="1878711" y="686435"/>
                            <a:ext cx="4177030" cy="9525"/>
                          </a:xfrm>
                          <a:custGeom>
                            <a:avLst/>
                            <a:gdLst/>
                            <a:ahLst/>
                            <a:cxnLst/>
                            <a:rect l="0" t="0" r="0" b="0"/>
                            <a:pathLst>
                              <a:path w="4177030" h="9525">
                                <a:moveTo>
                                  <a:pt x="0" y="0"/>
                                </a:moveTo>
                                <a:lnTo>
                                  <a:pt x="4177030" y="0"/>
                                </a:lnTo>
                                <a:lnTo>
                                  <a:pt x="417703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8" name="Shape 6138"/>
                        <wps:cNvSpPr/>
                        <wps:spPr>
                          <a:xfrm>
                            <a:off x="1878711" y="915416"/>
                            <a:ext cx="4177030" cy="9525"/>
                          </a:xfrm>
                          <a:custGeom>
                            <a:avLst/>
                            <a:gdLst/>
                            <a:ahLst/>
                            <a:cxnLst/>
                            <a:rect l="0" t="0" r="0" b="0"/>
                            <a:pathLst>
                              <a:path w="4177030" h="9525">
                                <a:moveTo>
                                  <a:pt x="0" y="0"/>
                                </a:moveTo>
                                <a:lnTo>
                                  <a:pt x="4177030" y="0"/>
                                </a:lnTo>
                                <a:lnTo>
                                  <a:pt x="417703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29" style="width:476.83pt;height:72.83pt;mso-position-horizontal-relative:char;mso-position-vertical-relative:line" coordsize="60557,9249">
                <v:rect id="Rectangle 18" style="position:absolute;width:21813;height:1905;left:0;top:604;" filled="f" stroked="f">
                  <v:textbox inset="0,0,0,0">
                    <w:txbxContent>
                      <w:p>
                        <w:pPr>
                          <w:spacing w:before="0" w:after="160" w:line="259" w:lineRule="auto"/>
                          <w:ind w:left="0" w:firstLine="0"/>
                        </w:pPr>
                        <w:r>
                          <w:rPr>
                            <w:rFonts w:cs="Arial" w:hAnsi="Arial" w:eastAsia="Arial" w:ascii="Arial"/>
                            <w:b w:val="1"/>
                            <w:sz w:val="24"/>
                          </w:rPr>
                          <w:t xml:space="preserve">Policy Content Owner:</w:t>
                        </w:r>
                      </w:p>
                    </w:txbxContent>
                  </v:textbox>
                </v:rect>
                <v:rect id="Rectangle 19" style="position:absolute;width:563;height:1905;left:16402;top:604;" filled="f" stroked="f">
                  <v:textbox inset="0,0,0,0">
                    <w:txbxContent>
                      <w:p>
                        <w:pPr>
                          <w:spacing w:before="0" w:after="160" w:line="259" w:lineRule="auto"/>
                          <w:ind w:left="0" w:firstLine="0"/>
                        </w:pPr>
                        <w:r>
                          <w:rPr>
                            <w:rFonts w:cs="Arial" w:hAnsi="Arial" w:eastAsia="Arial" w:ascii="Arial"/>
                            <w:b w:val="1"/>
                            <w:sz w:val="24"/>
                          </w:rPr>
                          <w:t xml:space="preserve"> </w:t>
                        </w:r>
                      </w:p>
                    </w:txbxContent>
                  </v:textbox>
                </v:rect>
                <v:rect id="Rectangle 20" style="position:absolute;width:31382;height:1905;left:19453;top:604;" filled="f" stroked="f">
                  <v:textbox inset="0,0,0,0">
                    <w:txbxContent>
                      <w:p>
                        <w:pPr>
                          <w:spacing w:before="0" w:after="160" w:line="259" w:lineRule="auto"/>
                          <w:ind w:left="0" w:firstLine="0"/>
                        </w:pPr>
                        <w:r>
                          <w:rPr>
                            <w:rFonts w:cs="Arial" w:hAnsi="Arial" w:eastAsia="Arial" w:ascii="Arial"/>
                            <w:sz w:val="24"/>
                          </w:rPr>
                          <w:t xml:space="preserve">System Director of Revenue Cycle</w:t>
                        </w:r>
                      </w:p>
                    </w:txbxContent>
                  </v:textbox>
                </v:rect>
                <v:rect id="Rectangle 21" style="position:absolute;width:563;height:1905;left:43103;top:604;" filled="f" stroked="f">
                  <v:textbox inset="0,0,0,0">
                    <w:txbxContent>
                      <w:p>
                        <w:pPr>
                          <w:spacing w:before="0" w:after="160" w:line="259" w:lineRule="auto"/>
                          <w:ind w:left="0" w:firstLine="0"/>
                        </w:pPr>
                        <w:r>
                          <w:rPr>
                            <w:rFonts w:cs="Arial" w:hAnsi="Arial" w:eastAsia="Arial" w:ascii="Arial"/>
                            <w:sz w:val="24"/>
                          </w:rPr>
                          <w:t xml:space="preserve"> </w:t>
                        </w:r>
                      </w:p>
                    </w:txbxContent>
                  </v:textbox>
                </v:rect>
                <v:shape id="Shape 6139" style="position:absolute;width:41770;height:95;left:18787;top:0;" coordsize="4177030,9525" path="m0,0l4177030,0l4177030,9525l0,9525l0,0">
                  <v:stroke weight="0pt" endcap="flat" joinstyle="miter" miterlimit="10" on="false" color="#000000" opacity="0"/>
                  <v:fill on="true" color="#000000"/>
                </v:shape>
                <v:rect id="Rectangle 23" style="position:absolute;width:17384;height:1905;left:0;top:2894;" filled="f" stroked="f">
                  <v:textbox inset="0,0,0,0">
                    <w:txbxContent>
                      <w:p>
                        <w:pPr>
                          <w:spacing w:before="0" w:after="160" w:line="259" w:lineRule="auto"/>
                          <w:ind w:left="0" w:firstLine="0"/>
                        </w:pPr>
                        <w:r>
                          <w:rPr>
                            <w:rFonts w:cs="Arial" w:hAnsi="Arial" w:eastAsia="Arial" w:ascii="Arial"/>
                            <w:b w:val="1"/>
                            <w:sz w:val="24"/>
                          </w:rPr>
                          <w:t xml:space="preserve">Last Review Date:</w:t>
                        </w:r>
                      </w:p>
                    </w:txbxContent>
                  </v:textbox>
                </v:rect>
                <v:rect id="Rectangle 24" style="position:absolute;width:563;height:1905;left:13064;top:2894;" filled="f" stroked="f">
                  <v:textbox inset="0,0,0,0">
                    <w:txbxContent>
                      <w:p>
                        <w:pPr>
                          <w:spacing w:before="0" w:after="160" w:line="259" w:lineRule="auto"/>
                          <w:ind w:left="0" w:firstLine="0"/>
                        </w:pPr>
                        <w:r>
                          <w:rPr>
                            <w:rFonts w:cs="Arial" w:hAnsi="Arial" w:eastAsia="Arial" w:ascii="Arial"/>
                            <w:b w:val="1"/>
                            <w:sz w:val="24"/>
                          </w:rPr>
                          <w:t xml:space="preserve"> </w:t>
                        </w:r>
                      </w:p>
                    </w:txbxContent>
                  </v:textbox>
                </v:rect>
                <v:rect id="Rectangle 25" style="position:absolute;width:10114;height:1905;left:19453;top:2894;" filled="f" stroked="f">
                  <v:textbox inset="0,0,0,0">
                    <w:txbxContent>
                      <w:p>
                        <w:pPr>
                          <w:spacing w:before="0" w:after="160" w:line="259" w:lineRule="auto"/>
                          <w:ind w:left="0" w:firstLine="0"/>
                        </w:pPr>
                        <w:r>
                          <w:rPr>
                            <w:rFonts w:cs="Arial" w:hAnsi="Arial" w:eastAsia="Arial" w:ascii="Arial"/>
                            <w:sz w:val="24"/>
                          </w:rPr>
                          <w:t xml:space="preserve">05/07/2025</w:t>
                        </w:r>
                      </w:p>
                    </w:txbxContent>
                  </v:textbox>
                </v:rect>
                <v:rect id="Rectangle 26" style="position:absolute;width:563;height:1905;left:27082;top:2894;" filled="f" stroked="f">
                  <v:textbox inset="0,0,0,0">
                    <w:txbxContent>
                      <w:p>
                        <w:pPr>
                          <w:spacing w:before="0" w:after="160" w:line="259" w:lineRule="auto"/>
                          <w:ind w:left="0" w:firstLine="0"/>
                        </w:pPr>
                        <w:r>
                          <w:rPr>
                            <w:rFonts w:cs="Arial" w:hAnsi="Arial" w:eastAsia="Arial" w:ascii="Arial"/>
                            <w:sz w:val="24"/>
                          </w:rPr>
                          <w:t xml:space="preserve"> </w:t>
                        </w:r>
                      </w:p>
                    </w:txbxContent>
                  </v:textbox>
                </v:rect>
                <v:shape id="Shape 6140" style="position:absolute;width:41770;height:95;left:18787;top:2289;" coordsize="4177030,9525" path="m0,0l4177030,0l4177030,9525l0,9525l0,0">
                  <v:stroke weight="0pt" endcap="flat" joinstyle="miter" miterlimit="10" on="false" color="#000000" opacity="0"/>
                  <v:fill on="true" color="#000000"/>
                </v:shape>
                <v:rect id="Rectangle 28" style="position:absolute;width:16241;height:1905;left:0;top:5183;" filled="f" stroked="f">
                  <v:textbox inset="0,0,0,0">
                    <w:txbxContent>
                      <w:p>
                        <w:pPr>
                          <w:spacing w:before="0" w:after="160" w:line="259" w:lineRule="auto"/>
                          <w:ind w:left="0" w:firstLine="0"/>
                        </w:pPr>
                        <w:r>
                          <w:rPr>
                            <w:rFonts w:cs="Arial" w:hAnsi="Arial" w:eastAsia="Arial" w:ascii="Arial"/>
                            <w:b w:val="1"/>
                            <w:sz w:val="24"/>
                          </w:rPr>
                          <w:t xml:space="preserve">Policy Approver:</w:t>
                        </w:r>
                      </w:p>
                    </w:txbxContent>
                  </v:textbox>
                </v:rect>
                <v:rect id="Rectangle 29" style="position:absolute;width:563;height:1905;left:12204;top:5183;" filled="f" stroked="f">
                  <v:textbox inset="0,0,0,0">
                    <w:txbxContent>
                      <w:p>
                        <w:pPr>
                          <w:spacing w:before="0" w:after="160" w:line="259" w:lineRule="auto"/>
                          <w:ind w:left="0" w:firstLine="0"/>
                        </w:pPr>
                        <w:r>
                          <w:rPr>
                            <w:rFonts w:cs="Arial" w:hAnsi="Arial" w:eastAsia="Arial" w:ascii="Arial"/>
                            <w:b w:val="1"/>
                            <w:sz w:val="24"/>
                          </w:rPr>
                          <w:t xml:space="preserve"> </w:t>
                        </w:r>
                      </w:p>
                    </w:txbxContent>
                  </v:textbox>
                </v:rect>
                <v:rect id="Rectangle 30" style="position:absolute;width:20790;height:1905;left:19453;top:5183;" filled="f" stroked="f">
                  <v:textbox inset="0,0,0,0">
                    <w:txbxContent>
                      <w:p>
                        <w:pPr>
                          <w:spacing w:before="0" w:after="160" w:line="259" w:lineRule="auto"/>
                          <w:ind w:left="0" w:firstLine="0"/>
                        </w:pPr>
                        <w:r>
                          <w:rPr>
                            <w:rFonts w:cs="Arial" w:hAnsi="Arial" w:eastAsia="Arial" w:ascii="Arial"/>
                            <w:sz w:val="24"/>
                          </w:rPr>
                          <w:t xml:space="preserve">Chief Financial Officer</w:t>
                        </w:r>
                      </w:p>
                    </w:txbxContent>
                  </v:textbox>
                </v:rect>
                <v:rect id="Rectangle 31" style="position:absolute;width:563;height:1905;left:35092;top:5183;" filled="f" stroked="f">
                  <v:textbox inset="0,0,0,0">
                    <w:txbxContent>
                      <w:p>
                        <w:pPr>
                          <w:spacing w:before="0" w:after="160" w:line="259" w:lineRule="auto"/>
                          <w:ind w:left="0" w:firstLine="0"/>
                        </w:pPr>
                        <w:r>
                          <w:rPr>
                            <w:rFonts w:cs="Arial" w:hAnsi="Arial" w:eastAsia="Arial" w:ascii="Arial"/>
                            <w:sz w:val="24"/>
                          </w:rPr>
                          <w:t xml:space="preserve"> </w:t>
                        </w:r>
                      </w:p>
                    </w:txbxContent>
                  </v:textbox>
                </v:rect>
                <v:shape id="Shape 6141" style="position:absolute;width:41770;height:95;left:18787;top:4575;" coordsize="4177030,9525" path="m0,0l4177030,0l4177030,9525l0,9525l0,0">
                  <v:stroke weight="0pt" endcap="flat" joinstyle="miter" miterlimit="10" on="false" color="#000000" opacity="0"/>
                  <v:fill on="true" color="#000000"/>
                </v:shape>
                <v:rect id="Rectangle 33" style="position:absolute;width:10375;height:1905;left:0;top:7469;" filled="f" stroked="f">
                  <v:textbox inset="0,0,0,0">
                    <w:txbxContent>
                      <w:p>
                        <w:pPr>
                          <w:spacing w:before="0" w:after="160" w:line="259" w:lineRule="auto"/>
                          <w:ind w:left="0" w:firstLine="0"/>
                        </w:pPr>
                        <w:r>
                          <w:rPr>
                            <w:rFonts w:cs="Arial" w:hAnsi="Arial" w:eastAsia="Arial" w:ascii="Arial"/>
                            <w:b w:val="1"/>
                            <w:sz w:val="24"/>
                          </w:rPr>
                          <w:t xml:space="preserve">Committee</w:t>
                        </w:r>
                      </w:p>
                    </w:txbxContent>
                  </v:textbox>
                </v:rect>
                <v:rect id="Rectangle 34" style="position:absolute;width:563;height:1905;left:7820;top:7469;" filled="f" stroked="f">
                  <v:textbox inset="0,0,0,0">
                    <w:txbxContent>
                      <w:p>
                        <w:pPr>
                          <w:spacing w:before="0" w:after="160" w:line="259" w:lineRule="auto"/>
                          <w:ind w:left="0" w:firstLine="0"/>
                        </w:pPr>
                        <w:r>
                          <w:rPr>
                            <w:rFonts w:cs="Arial" w:hAnsi="Arial" w:eastAsia="Arial" w:ascii="Arial"/>
                            <w:b w:val="1"/>
                            <w:sz w:val="24"/>
                          </w:rPr>
                          <w:t xml:space="preserve"> </w:t>
                        </w:r>
                      </w:p>
                    </w:txbxContent>
                  </v:textbox>
                </v:rect>
                <v:rect id="Rectangle 35" style="position:absolute;width:12264;height:1905;left:19453;top:7469;" filled="f" stroked="f">
                  <v:textbox inset="0,0,0,0">
                    <w:txbxContent>
                      <w:p>
                        <w:pPr>
                          <w:spacing w:before="0" w:after="160" w:line="259" w:lineRule="auto"/>
                          <w:ind w:left="0" w:firstLine="0"/>
                        </w:pPr>
                        <w:r>
                          <w:rPr>
                            <w:rFonts w:cs="Arial" w:hAnsi="Arial" w:eastAsia="Arial" w:ascii="Arial"/>
                            <w:sz w:val="24"/>
                          </w:rPr>
                          <w:t xml:space="preserve">Not Assigned</w:t>
                        </w:r>
                      </w:p>
                    </w:txbxContent>
                  </v:textbox>
                </v:rect>
                <v:rect id="Rectangle 36" style="position:absolute;width:563;height:1905;left:28705;top:7469;" filled="f" stroked="f">
                  <v:textbox inset="0,0,0,0">
                    <w:txbxContent>
                      <w:p>
                        <w:pPr>
                          <w:spacing w:before="0" w:after="160" w:line="259" w:lineRule="auto"/>
                          <w:ind w:left="0" w:firstLine="0"/>
                        </w:pPr>
                        <w:r>
                          <w:rPr>
                            <w:rFonts w:cs="Arial" w:hAnsi="Arial" w:eastAsia="Arial" w:ascii="Arial"/>
                            <w:sz w:val="24"/>
                          </w:rPr>
                          <w:t xml:space="preserve"> </w:t>
                        </w:r>
                      </w:p>
                    </w:txbxContent>
                  </v:textbox>
                </v:rect>
                <v:shape id="Shape 6142" style="position:absolute;width:41770;height:95;left:18787;top:6864;" coordsize="4177030,9525" path="m0,0l4177030,0l4177030,9525l0,9525l0,0">
                  <v:stroke weight="0pt" endcap="flat" joinstyle="miter" miterlimit="10" on="false" color="#000000" opacity="0"/>
                  <v:fill on="true" color="#000000"/>
                </v:shape>
                <v:shape id="Shape 6143" style="position:absolute;width:41770;height:95;left:18787;top:9154;" coordsize="4177030,9525" path="m0,0l4177030,0l4177030,9525l0,9525l0,0">
                  <v:stroke weight="0pt" endcap="flat" joinstyle="miter" miterlimit="10" on="false" color="#000000" opacity="0"/>
                  <v:fill on="true" color="#000000"/>
                </v:shape>
              </v:group>
            </w:pict>
          </mc:Fallback>
        </mc:AlternateContent>
      </w:r>
    </w:p>
    <w:p w14:paraId="0BC6BC1B" w14:textId="77777777" w:rsidR="00250200" w:rsidRDefault="004D4A20">
      <w:pPr>
        <w:spacing w:after="25" w:line="259" w:lineRule="auto"/>
        <w:ind w:left="105" w:firstLine="0"/>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14:paraId="543F8BDC" w14:textId="6C25EF74" w:rsidR="00250200" w:rsidRDefault="004D4A20" w:rsidP="00BD5C4A">
      <w:pPr>
        <w:spacing w:after="17" w:line="259" w:lineRule="auto"/>
        <w:ind w:left="105" w:firstLine="0"/>
      </w:pPr>
      <w:r>
        <w:rPr>
          <w:rFonts w:ascii="Arial" w:eastAsia="Arial" w:hAnsi="Arial" w:cs="Arial"/>
          <w:b/>
          <w:sz w:val="24"/>
        </w:rPr>
        <w:t xml:space="preserve">Scope of Policy Related to Location: </w:t>
      </w:r>
      <w:r>
        <w:rPr>
          <w:rFonts w:ascii="Arial" w:eastAsia="Arial" w:hAnsi="Arial" w:cs="Arial"/>
          <w:sz w:val="24"/>
        </w:rPr>
        <w:t xml:space="preserve">Mary Free Bed </w:t>
      </w:r>
      <w:r w:rsidR="00BD5C4A">
        <w:rPr>
          <w:rFonts w:ascii="Arial" w:eastAsia="Arial" w:hAnsi="Arial" w:cs="Arial"/>
          <w:sz w:val="24"/>
        </w:rPr>
        <w:t xml:space="preserve">Rehabilitation Hospital (MFB) </w:t>
      </w:r>
      <w:r>
        <w:rPr>
          <w:rFonts w:ascii="Arial" w:eastAsia="Arial" w:hAnsi="Arial" w:cs="Arial"/>
          <w:sz w:val="24"/>
        </w:rPr>
        <w:t xml:space="preserve">policy applies to:, MFB IP Grand Rapids Campus, MFB OP Grand </w:t>
      </w:r>
      <w:r>
        <w:rPr>
          <w:rFonts w:ascii="Arial" w:eastAsia="Arial" w:hAnsi="Arial" w:cs="Arial"/>
          <w:b/>
          <w:sz w:val="24"/>
        </w:rPr>
        <w:t xml:space="preserve"> </w:t>
      </w:r>
      <w:r>
        <w:rPr>
          <w:rFonts w:ascii="Arial" w:eastAsia="Arial" w:hAnsi="Arial" w:cs="Arial"/>
          <w:sz w:val="24"/>
        </w:rPr>
        <w:t>Rapids Campus, MFB OP Off-</w:t>
      </w:r>
      <w:r>
        <w:rPr>
          <w:rFonts w:ascii="Arial" w:eastAsia="Arial" w:hAnsi="Arial" w:cs="Arial"/>
          <w:sz w:val="24"/>
        </w:rPr>
        <w:t xml:space="preserve">Site/System Partners , MFB Orthotics &amp; Prosthetics + Bionics </w:t>
      </w:r>
    </w:p>
    <w:p w14:paraId="24E56CA3" w14:textId="77777777" w:rsidR="00250200" w:rsidRDefault="004D4A20">
      <w:pPr>
        <w:spacing w:after="0" w:line="259" w:lineRule="auto"/>
        <w:ind w:left="0" w:firstLine="0"/>
      </w:pPr>
      <w:r>
        <w:rPr>
          <w:rFonts w:ascii="Times New Roman" w:eastAsia="Times New Roman" w:hAnsi="Times New Roman" w:cs="Times New Roman"/>
          <w:sz w:val="24"/>
        </w:rPr>
        <w:t xml:space="preserve"> </w:t>
      </w:r>
    </w:p>
    <w:p w14:paraId="10856A68" w14:textId="77777777" w:rsidR="00250200" w:rsidRDefault="004D4A20">
      <w:pPr>
        <w:pStyle w:val="Heading1"/>
        <w:ind w:left="-5"/>
      </w:pPr>
      <w:r w:rsidRPr="00BD5C4A">
        <w:rPr>
          <w:bCs/>
        </w:rPr>
        <w:t>I.</w:t>
      </w:r>
      <w:r>
        <w:rPr>
          <w:b w:val="0"/>
        </w:rPr>
        <w:t xml:space="preserve"> </w:t>
      </w:r>
      <w:r>
        <w:t xml:space="preserve">Purpose </w:t>
      </w:r>
      <w:r>
        <w:rPr>
          <w:b w:val="0"/>
        </w:rPr>
        <w:t xml:space="preserve"> </w:t>
      </w:r>
    </w:p>
    <w:p w14:paraId="694FCC4E" w14:textId="77777777" w:rsidR="00250200" w:rsidRDefault="004D4A20">
      <w:pPr>
        <w:ind w:left="-5" w:right="108"/>
      </w:pPr>
      <w:r>
        <w:t xml:space="preserve">The purpose of this policy is to ensure fair and equitable treatment of all patients with patient responsible balances owed to Mary Free Bed Rehabilitation Hospital (MFB) and to comply with applicable Federal and State Laws with respect to collection of patient responsible balances. </w:t>
      </w:r>
    </w:p>
    <w:p w14:paraId="355DB2D7" w14:textId="77777777" w:rsidR="00250200" w:rsidRDefault="004D4A20">
      <w:pPr>
        <w:spacing w:after="0" w:line="259" w:lineRule="auto"/>
        <w:ind w:left="0" w:firstLine="0"/>
      </w:pPr>
      <w:r>
        <w:t xml:space="preserve"> </w:t>
      </w:r>
    </w:p>
    <w:p w14:paraId="66A2A829" w14:textId="4B6657A6" w:rsidR="00250200" w:rsidRDefault="004D4A20">
      <w:pPr>
        <w:ind w:left="-5" w:right="108"/>
      </w:pPr>
      <w:r w:rsidRPr="00BD5C4A">
        <w:rPr>
          <w:b/>
          <w:bCs/>
        </w:rPr>
        <w:t>II</w:t>
      </w:r>
      <w:r w:rsidRPr="00BD5C4A">
        <w:rPr>
          <w:b/>
          <w:bCs/>
        </w:rPr>
        <w:t>.</w:t>
      </w:r>
      <w:r>
        <w:rPr>
          <w:b/>
        </w:rPr>
        <w:t xml:space="preserve"> Responsibility: </w:t>
      </w:r>
      <w:r>
        <w:t xml:space="preserve">Revenue Cycle team members will administer this policy </w:t>
      </w:r>
      <w:r w:rsidR="00BD5C4A">
        <w:t>and</w:t>
      </w:r>
      <w:r>
        <w:t xml:space="preserve"> procedure</w:t>
      </w:r>
      <w:r>
        <w:t xml:space="preserve">. </w:t>
      </w:r>
    </w:p>
    <w:p w14:paraId="091A26BB" w14:textId="77777777" w:rsidR="00250200" w:rsidRDefault="004D4A20">
      <w:pPr>
        <w:ind w:left="-5" w:right="108"/>
      </w:pPr>
      <w:r>
        <w:t xml:space="preserve">COVERED SERVICES and PROVIDERS:   </w:t>
      </w:r>
    </w:p>
    <w:p w14:paraId="4B4C94BF" w14:textId="77777777" w:rsidR="00250200" w:rsidRDefault="004D4A20">
      <w:pPr>
        <w:ind w:left="-5" w:right="108"/>
      </w:pPr>
      <w:r>
        <w:t xml:space="preserve">This applies to all sites that bill under Mary Free Bed Rehabilitation Hospital.  </w:t>
      </w:r>
    </w:p>
    <w:p w14:paraId="53F341CC" w14:textId="77777777" w:rsidR="00250200" w:rsidRDefault="004D4A20">
      <w:pPr>
        <w:ind w:left="-5" w:right="108"/>
      </w:pPr>
      <w:r>
        <w:t xml:space="preserve">Patients who are seen at system sites where the patient is registered and billed out of the host hospital should refer to the host hospital policy and procedures for patient responsible balance payment information. </w:t>
      </w:r>
    </w:p>
    <w:p w14:paraId="363003DB" w14:textId="77777777" w:rsidR="00250200" w:rsidRDefault="004D4A20">
      <w:pPr>
        <w:ind w:left="-5" w:right="108"/>
      </w:pPr>
      <w:r>
        <w:t xml:space="preserve">This DOES NOT apply to the charges billed by physicians, advanced practice providers, and other specialists who act as private contractors or privately bill services under hospital privileges to see inpatients at MFB but are not MFB employees and do not assign billing to MFB. </w:t>
      </w:r>
    </w:p>
    <w:p w14:paraId="6B10ACBE" w14:textId="77777777" w:rsidR="00250200" w:rsidRDefault="004D4A20">
      <w:pPr>
        <w:spacing w:after="0" w:line="259" w:lineRule="auto"/>
        <w:ind w:left="0" w:firstLine="0"/>
      </w:pPr>
      <w:r>
        <w:t xml:space="preserve"> </w:t>
      </w:r>
    </w:p>
    <w:p w14:paraId="79BFDA19" w14:textId="77777777" w:rsidR="00250200" w:rsidRDefault="004D4A20">
      <w:pPr>
        <w:pStyle w:val="Heading1"/>
        <w:ind w:left="-5"/>
      </w:pPr>
      <w:r w:rsidRPr="00BD5C4A">
        <w:rPr>
          <w:bCs/>
        </w:rPr>
        <w:t>III.</w:t>
      </w:r>
      <w:r>
        <w:rPr>
          <w:b w:val="0"/>
        </w:rPr>
        <w:t xml:space="preserve"> </w:t>
      </w:r>
      <w:r>
        <w:t xml:space="preserve">Definitions  </w:t>
      </w:r>
    </w:p>
    <w:p w14:paraId="501EF2A2" w14:textId="72D96C14" w:rsidR="00250200" w:rsidRDefault="004D4A20">
      <w:pPr>
        <w:numPr>
          <w:ilvl w:val="0"/>
          <w:numId w:val="1"/>
        </w:numPr>
        <w:spacing w:after="0" w:line="259" w:lineRule="auto"/>
        <w:ind w:right="108" w:hanging="240"/>
      </w:pPr>
      <w:r>
        <w:rPr>
          <w:b/>
        </w:rPr>
        <w:t>Extraordinary</w:t>
      </w:r>
      <w:r>
        <w:t xml:space="preserve"> </w:t>
      </w:r>
      <w:r>
        <w:rPr>
          <w:b/>
        </w:rPr>
        <w:t>Collection Actions</w:t>
      </w:r>
      <w:r w:rsidR="00BD5C4A">
        <w:rPr>
          <w:b/>
        </w:rPr>
        <w:t xml:space="preserve"> </w:t>
      </w:r>
      <w:r>
        <w:rPr>
          <w:b/>
        </w:rPr>
        <w:t>(</w:t>
      </w:r>
      <w:proofErr w:type="spellStart"/>
      <w:r>
        <w:rPr>
          <w:b/>
        </w:rPr>
        <w:t>ECA</w:t>
      </w:r>
      <w:proofErr w:type="spellEnd"/>
      <w:r>
        <w:rPr>
          <w:b/>
        </w:rPr>
        <w:t>):</w:t>
      </w:r>
      <w:r>
        <w:t xml:space="preserve">  </w:t>
      </w:r>
    </w:p>
    <w:p w14:paraId="4E4F0CF0" w14:textId="3F7366E4" w:rsidR="00250200" w:rsidRDefault="004D4A20">
      <w:pPr>
        <w:ind w:left="-5" w:right="108"/>
      </w:pPr>
      <w:proofErr w:type="spellStart"/>
      <w:r>
        <w:t>ECA</w:t>
      </w:r>
      <w:r w:rsidR="00BD5C4A">
        <w:t>’</w:t>
      </w:r>
      <w:r>
        <w:t>s</w:t>
      </w:r>
      <w:proofErr w:type="spellEnd"/>
      <w:r>
        <w:t xml:space="preserve"> are defined as actions taken by a hospital facility against an individual related to obtaining </w:t>
      </w:r>
      <w:r>
        <w:t>payment of a bill for care covered under the hospital facility’s F</w:t>
      </w:r>
      <w:r>
        <w:t xml:space="preserve">inancial Assistance Program (which is termed Community Financial Assistance at Mary Free Bed) that </w:t>
      </w:r>
    </w:p>
    <w:p w14:paraId="49B03618" w14:textId="77777777" w:rsidR="00250200" w:rsidRDefault="004D4A20">
      <w:pPr>
        <w:numPr>
          <w:ilvl w:val="1"/>
          <w:numId w:val="1"/>
        </w:numPr>
        <w:ind w:right="108" w:hanging="360"/>
      </w:pPr>
      <w:r>
        <w:t xml:space="preserve">involve selling an individual’s debt to another party, </w:t>
      </w:r>
      <w:r>
        <w:t xml:space="preserve"> </w:t>
      </w:r>
    </w:p>
    <w:p w14:paraId="08180792" w14:textId="77777777" w:rsidR="00250200" w:rsidRDefault="004D4A20">
      <w:pPr>
        <w:numPr>
          <w:ilvl w:val="1"/>
          <w:numId w:val="1"/>
        </w:numPr>
        <w:ind w:right="108" w:hanging="360"/>
      </w:pPr>
      <w:r>
        <w:t xml:space="preserve">involve reporting adverse information about an individual to consumer credit reporting agencies </w:t>
      </w:r>
      <w:r>
        <w:t>or credit bureaus (collectively, “credit agencies”),</w:t>
      </w:r>
      <w:r>
        <w:t xml:space="preserve"> </w:t>
      </w:r>
    </w:p>
    <w:p w14:paraId="1CE71F25" w14:textId="77777777" w:rsidR="00250200" w:rsidRDefault="004D4A20">
      <w:pPr>
        <w:numPr>
          <w:ilvl w:val="1"/>
          <w:numId w:val="1"/>
        </w:numPr>
        <w:spacing w:line="234" w:lineRule="auto"/>
        <w:ind w:right="108" w:hanging="360"/>
      </w:pPr>
      <w:r>
        <w:t xml:space="preserve">involve deferring or denying, or requiring a payment before providing, medically necessary care </w:t>
      </w:r>
      <w:r>
        <w:t>because of an individual’s non</w:t>
      </w:r>
      <w:r>
        <w:t xml:space="preserve">-payment of one or more bills for previously provided care </w:t>
      </w:r>
      <w:r>
        <w:t>covered under the hospital facility’s FAP, or</w:t>
      </w:r>
      <w:r>
        <w:t xml:space="preserve"> </w:t>
      </w:r>
    </w:p>
    <w:p w14:paraId="69A27D45" w14:textId="77777777" w:rsidR="00250200" w:rsidRDefault="004D4A20">
      <w:pPr>
        <w:numPr>
          <w:ilvl w:val="1"/>
          <w:numId w:val="1"/>
        </w:numPr>
        <w:ind w:right="108" w:hanging="360"/>
      </w:pPr>
      <w:r>
        <w:lastRenderedPageBreak/>
        <w:t xml:space="preserve">require a legal or judicial process (examples include but not limited to garnishing wages or commencing a civil action) </w:t>
      </w:r>
    </w:p>
    <w:p w14:paraId="19ACAE10" w14:textId="77777777" w:rsidR="00250200" w:rsidRDefault="004D4A20">
      <w:pPr>
        <w:spacing w:after="0" w:line="259" w:lineRule="auto"/>
        <w:ind w:left="0" w:firstLine="0"/>
      </w:pPr>
      <w:r>
        <w:t xml:space="preserve"> </w:t>
      </w:r>
    </w:p>
    <w:p w14:paraId="109E682B" w14:textId="354392DF" w:rsidR="00250200" w:rsidRDefault="004D4A20">
      <w:pPr>
        <w:numPr>
          <w:ilvl w:val="0"/>
          <w:numId w:val="1"/>
        </w:numPr>
        <w:ind w:right="108" w:hanging="240"/>
      </w:pPr>
      <w:r>
        <w:rPr>
          <w:b/>
        </w:rPr>
        <w:t>Community Financial Assistance (CFA)</w:t>
      </w:r>
      <w:r>
        <w:t xml:space="preserve">: Mary Free Bed’s assistance provided to applicants meeting </w:t>
      </w:r>
      <w:proofErr w:type="spellStart"/>
      <w:r>
        <w:t>MFB’s</w:t>
      </w:r>
      <w:proofErr w:type="spellEnd"/>
      <w:r>
        <w:t xml:space="preserve"> established criteria to relieve them of all or part of their financial obligation for medically </w:t>
      </w:r>
      <w:r>
        <w:t xml:space="preserve">necessary care provided by MFB.  This is in compliance with requirements to have a financial assistance program (FAP) as required by regulations surrounding the IRS section 501(r)(4) and the Affordable Care </w:t>
      </w:r>
      <w:r>
        <w:t>Act.  Find Mary Free Bed’s FAP is called “Community Financial Assistance</w:t>
      </w:r>
      <w:r>
        <w:t xml:space="preserve">”. </w:t>
      </w:r>
      <w:r>
        <w:t xml:space="preserve"> </w:t>
      </w:r>
    </w:p>
    <w:p w14:paraId="280EF09F" w14:textId="77777777" w:rsidR="00250200" w:rsidRDefault="004D4A20">
      <w:pPr>
        <w:spacing w:after="0" w:line="259" w:lineRule="auto"/>
        <w:ind w:left="0" w:firstLine="0"/>
      </w:pPr>
      <w:r>
        <w:t xml:space="preserve">  </w:t>
      </w:r>
    </w:p>
    <w:p w14:paraId="73B36677" w14:textId="77777777" w:rsidR="00BD5C4A" w:rsidRDefault="004D4A20">
      <w:pPr>
        <w:numPr>
          <w:ilvl w:val="0"/>
          <w:numId w:val="1"/>
        </w:numPr>
        <w:ind w:right="108" w:hanging="240"/>
      </w:pPr>
      <w:r>
        <w:rPr>
          <w:b/>
        </w:rPr>
        <w:t>Payment Plan</w:t>
      </w:r>
      <w:r>
        <w:t xml:space="preserve">:  </w:t>
      </w:r>
    </w:p>
    <w:p w14:paraId="6031C3AD" w14:textId="474BC9F2" w:rsidR="00250200" w:rsidRDefault="00BD5C4A" w:rsidP="00BD5C4A">
      <w:pPr>
        <w:ind w:left="240" w:right="108" w:firstLine="0"/>
      </w:pPr>
      <w:r>
        <w:rPr>
          <w:b/>
        </w:rPr>
        <w:t>1</w:t>
      </w:r>
      <w:r w:rsidRPr="00BD5C4A">
        <w:t>.</w:t>
      </w:r>
      <w:r>
        <w:t xml:space="preserve"> Internal: </w:t>
      </w:r>
      <w:r w:rsidR="004D4A20">
        <w:t>An interest-free</w:t>
      </w:r>
      <w:r>
        <w:t>, short term (less than 1 year)</w:t>
      </w:r>
      <w:r w:rsidR="004D4A20">
        <w:t xml:space="preserve"> payment plan that is agreed to by both MFB and the patient, </w:t>
      </w:r>
      <w:r w:rsidR="004D4A20">
        <w:t>or patient’s guarantor, for out</w:t>
      </w:r>
      <w:r w:rsidR="004D4A20">
        <w:t xml:space="preserve">-of-pocket fees.  </w:t>
      </w:r>
    </w:p>
    <w:p w14:paraId="0EEED6C5" w14:textId="5F441F43" w:rsidR="00BD5C4A" w:rsidRDefault="00BD5C4A" w:rsidP="00BD5C4A">
      <w:pPr>
        <w:ind w:left="240" w:right="108" w:firstLine="0"/>
      </w:pPr>
      <w:r>
        <w:t>2. External: Long Term payment plans through a third-party vendor that is generally interest-bearing agreed to by patient and third-party vendor.</w:t>
      </w:r>
    </w:p>
    <w:p w14:paraId="702C9B5C" w14:textId="77777777" w:rsidR="00250200" w:rsidRDefault="004D4A20">
      <w:pPr>
        <w:spacing w:after="0" w:line="259" w:lineRule="auto"/>
        <w:ind w:left="0" w:firstLine="0"/>
      </w:pPr>
      <w:r>
        <w:t xml:space="preserve">  </w:t>
      </w:r>
    </w:p>
    <w:p w14:paraId="7A511E9D" w14:textId="77777777" w:rsidR="00250200" w:rsidRDefault="004D4A20">
      <w:pPr>
        <w:numPr>
          <w:ilvl w:val="0"/>
          <w:numId w:val="1"/>
        </w:numPr>
        <w:ind w:right="108" w:hanging="240"/>
      </w:pPr>
      <w:r>
        <w:rPr>
          <w:b/>
        </w:rPr>
        <w:t>Patient Responsible Balance</w:t>
      </w:r>
      <w:r>
        <w:t xml:space="preserve">:  Accounts receivable that patients, or their guarantors, are obligated to pay directly to MFB.  These may include balances due from uninsured patients, insurance deductibles, copayments, amounts due after insurance claims have been paid, or balances due after adjustments have been made in accordance to the MFB Community Financial Assistance policy.  </w:t>
      </w:r>
    </w:p>
    <w:p w14:paraId="15107987" w14:textId="77777777" w:rsidR="00250200" w:rsidRDefault="004D4A20">
      <w:pPr>
        <w:spacing w:after="0" w:line="259" w:lineRule="auto"/>
        <w:ind w:left="0" w:firstLine="0"/>
      </w:pPr>
      <w:r>
        <w:t xml:space="preserve"> </w:t>
      </w:r>
    </w:p>
    <w:p w14:paraId="3412F9B3" w14:textId="77777777" w:rsidR="00250200" w:rsidRDefault="004D4A20">
      <w:pPr>
        <w:numPr>
          <w:ilvl w:val="0"/>
          <w:numId w:val="1"/>
        </w:numPr>
        <w:ind w:right="108" w:hanging="240"/>
      </w:pPr>
      <w:r>
        <w:rPr>
          <w:b/>
        </w:rPr>
        <w:t>Default</w:t>
      </w:r>
      <w:r>
        <w:t xml:space="preserve">:  A Patient Responsible Balance which has not been paid in full or enrolled in an agreed upon payment plan after internal collections have been exhausted by MFB or a delegated third party.  </w:t>
      </w:r>
    </w:p>
    <w:p w14:paraId="570210B5" w14:textId="77777777" w:rsidR="00250200" w:rsidRDefault="004D4A20">
      <w:pPr>
        <w:spacing w:after="0" w:line="259" w:lineRule="auto"/>
        <w:ind w:left="0" w:firstLine="0"/>
      </w:pPr>
      <w:r>
        <w:t xml:space="preserve"> </w:t>
      </w:r>
    </w:p>
    <w:p w14:paraId="0547D0F1" w14:textId="77777777" w:rsidR="00250200" w:rsidRDefault="004D4A20">
      <w:pPr>
        <w:numPr>
          <w:ilvl w:val="0"/>
          <w:numId w:val="1"/>
        </w:numPr>
        <w:spacing w:after="0" w:line="236" w:lineRule="auto"/>
        <w:ind w:right="108" w:hanging="240"/>
      </w:pPr>
      <w:r>
        <w:rPr>
          <w:b/>
          <w:color w:val="212121"/>
        </w:rPr>
        <w:t>Patient:</w:t>
      </w:r>
      <w:r>
        <w:rPr>
          <w:color w:val="212121"/>
        </w:rPr>
        <w:t xml:space="preserve">  </w:t>
      </w:r>
      <w:r>
        <w:rPr>
          <w:color w:val="212121"/>
        </w:rPr>
        <w:t xml:space="preserve">A patient who receives services at Mary Free Bed Rehabilitation Hospital including all locations that register and bill patients under Mary Free Bed Rehabilitation Hospital. </w:t>
      </w:r>
    </w:p>
    <w:p w14:paraId="2F275138" w14:textId="77777777" w:rsidR="00250200" w:rsidRDefault="004D4A20">
      <w:pPr>
        <w:spacing w:after="0" w:line="259" w:lineRule="auto"/>
        <w:ind w:left="0" w:firstLine="0"/>
      </w:pPr>
      <w:r>
        <w:rPr>
          <w:color w:val="212121"/>
        </w:rPr>
        <w:t xml:space="preserve"> </w:t>
      </w:r>
    </w:p>
    <w:p w14:paraId="12639681" w14:textId="77777777" w:rsidR="00250200" w:rsidRDefault="004D4A20">
      <w:pPr>
        <w:numPr>
          <w:ilvl w:val="0"/>
          <w:numId w:val="1"/>
        </w:numPr>
        <w:spacing w:after="0" w:line="236" w:lineRule="auto"/>
        <w:ind w:right="108" w:hanging="240"/>
      </w:pPr>
      <w:r>
        <w:rPr>
          <w:b/>
          <w:color w:val="212121"/>
        </w:rPr>
        <w:t>Guarantor:</w:t>
      </w:r>
      <w:r>
        <w:rPr>
          <w:color w:val="212121"/>
        </w:rPr>
        <w:t xml:space="preserve"> </w:t>
      </w:r>
      <w:r>
        <w:rPr>
          <w:color w:val="212121"/>
        </w:rPr>
        <w:t xml:space="preserve">An individual who guarantees payment on services received by a patient at Mary Free Bed Rehabilitation Hospital. </w:t>
      </w:r>
    </w:p>
    <w:p w14:paraId="11919F71" w14:textId="77777777" w:rsidR="00250200" w:rsidRDefault="004D4A20">
      <w:pPr>
        <w:spacing w:after="75" w:line="259" w:lineRule="auto"/>
        <w:ind w:left="0" w:firstLine="0"/>
      </w:pPr>
      <w:r>
        <w:rPr>
          <w:rFonts w:ascii="Times New Roman" w:eastAsia="Times New Roman" w:hAnsi="Times New Roman" w:cs="Times New Roman"/>
          <w:sz w:val="24"/>
        </w:rPr>
        <w:t xml:space="preserve"> </w:t>
      </w:r>
    </w:p>
    <w:p w14:paraId="1A9E7DF5" w14:textId="77777777" w:rsidR="00250200" w:rsidRDefault="004D4A20">
      <w:pPr>
        <w:numPr>
          <w:ilvl w:val="0"/>
          <w:numId w:val="1"/>
        </w:numPr>
        <w:spacing w:after="110"/>
        <w:ind w:right="108" w:hanging="240"/>
      </w:pPr>
      <w:r>
        <w:rPr>
          <w:b/>
        </w:rPr>
        <w:t>Patient Responsible Balance</w:t>
      </w:r>
      <w:r>
        <w:t xml:space="preserve">: Any balance due which is the responsibility of the patient and/or guarantor. This includes uninsured balances, co-payments, deductibles, coinsurance, noncovered services, and any balance due after insurance payment that is deemed patient/guarantor liability.  </w:t>
      </w:r>
    </w:p>
    <w:p w14:paraId="4D52D38E" w14:textId="77777777" w:rsidR="00250200" w:rsidRDefault="004D4A20">
      <w:pPr>
        <w:numPr>
          <w:ilvl w:val="0"/>
          <w:numId w:val="1"/>
        </w:numPr>
        <w:spacing w:after="89"/>
        <w:ind w:right="108" w:hanging="240"/>
      </w:pPr>
      <w:r>
        <w:rPr>
          <w:b/>
        </w:rPr>
        <w:t>Reasonable Efforts</w:t>
      </w:r>
      <w:r>
        <w:t xml:space="preserve">: Reasonable efforts </w:t>
      </w:r>
    </w:p>
    <w:p w14:paraId="7D8AC739" w14:textId="77777777" w:rsidR="00250200" w:rsidRDefault="004D4A20">
      <w:pPr>
        <w:spacing w:after="95"/>
        <w:ind w:left="-5" w:right="108"/>
      </w:pPr>
      <w:r>
        <w:t xml:space="preserve">A hospital facility is considered to have made a reasonable effort to determine if an individual is Financial Assistance Policy-eligible if: </w:t>
      </w:r>
    </w:p>
    <w:p w14:paraId="5009D157" w14:textId="77777777" w:rsidR="00250200" w:rsidRDefault="004D4A20">
      <w:pPr>
        <w:spacing w:after="109"/>
        <w:ind w:left="-5" w:right="108"/>
      </w:pPr>
      <w:r>
        <w:t xml:space="preserve">The hospital facility notifies the individual about the CFA before initiating any </w:t>
      </w:r>
      <w:proofErr w:type="spellStart"/>
      <w:r>
        <w:t>ECAs</w:t>
      </w:r>
      <w:proofErr w:type="spellEnd"/>
      <w:r>
        <w:t xml:space="preserve"> to obtain payment for the care and refrains from initiating such </w:t>
      </w:r>
      <w:proofErr w:type="spellStart"/>
      <w:r>
        <w:t>ECAs</w:t>
      </w:r>
      <w:proofErr w:type="spellEnd"/>
      <w:r>
        <w:t xml:space="preserve"> for at least 120 days from the date the hospital facility provides the first post-discharge billing statement for the care. </w:t>
      </w:r>
    </w:p>
    <w:p w14:paraId="23B0C55B" w14:textId="77777777" w:rsidR="00250200" w:rsidRDefault="004D4A20">
      <w:pPr>
        <w:spacing w:after="95"/>
        <w:ind w:left="-5" w:right="108"/>
      </w:pPr>
      <w:r>
        <w:t xml:space="preserve">In the case of an individual who submits an incomplete CFA application during the 240 day application period, the hospital facility notifies the individual about how to complete the CFA application and gives the individual a reasonable opportunity to do so. </w:t>
      </w:r>
    </w:p>
    <w:p w14:paraId="4F900A3A" w14:textId="77777777" w:rsidR="00250200" w:rsidRDefault="004D4A20">
      <w:pPr>
        <w:spacing w:after="109"/>
        <w:ind w:left="-5" w:right="108"/>
      </w:pPr>
      <w:r>
        <w:t xml:space="preserve">In the case of an individual who submits a complete CFA application during the 240-day application period, the hospital facility determines whether the individual is CFA-eligible for the care. </w:t>
      </w:r>
    </w:p>
    <w:p w14:paraId="63E52890" w14:textId="77777777" w:rsidR="00250200" w:rsidRDefault="004D4A20">
      <w:pPr>
        <w:spacing w:after="94"/>
        <w:ind w:left="-5" w:right="108"/>
      </w:pPr>
      <w:r>
        <w:lastRenderedPageBreak/>
        <w:t xml:space="preserve">The application period may be longer than 240 days because a hospital facility must notify an individual at least 30-day before initiating one or more </w:t>
      </w:r>
      <w:proofErr w:type="spellStart"/>
      <w:r>
        <w:t>ECAs</w:t>
      </w:r>
      <w:proofErr w:type="spellEnd"/>
      <w:r>
        <w:t xml:space="preserve"> to obtain payment for the care. </w:t>
      </w:r>
    </w:p>
    <w:p w14:paraId="6951FFD1" w14:textId="77777777" w:rsidR="00250200" w:rsidRDefault="004D4A20">
      <w:pPr>
        <w:spacing w:after="90"/>
        <w:ind w:left="-5" w:right="108"/>
      </w:pPr>
      <w:r>
        <w:t xml:space="preserve">A hospital facility may continue to accept and process CFA applications from patients at any time. </w:t>
      </w:r>
    </w:p>
    <w:p w14:paraId="09CFD729" w14:textId="77777777" w:rsidR="00250200" w:rsidRDefault="004D4A20">
      <w:pPr>
        <w:ind w:left="-5"/>
      </w:pPr>
      <w:r>
        <w:t>Note:  The final regulations provide a 120-</w:t>
      </w:r>
      <w:r>
        <w:t>day “notification period” and a 240</w:t>
      </w:r>
      <w:r>
        <w:t>-</w:t>
      </w:r>
      <w:r>
        <w:t>day “application period,” both beginning on the date the first “post</w:t>
      </w:r>
      <w:r>
        <w:t>-</w:t>
      </w:r>
      <w:r>
        <w:t>discharge” billing statement is provided. A billing statement for care is considered “post</w:t>
      </w:r>
      <w:r>
        <w:t>-</w:t>
      </w:r>
      <w:r>
        <w:t xml:space="preserve">discharge” if it </w:t>
      </w:r>
      <w:r>
        <w:t xml:space="preserve">is provided to an individual after the patient received care, whether inpatient or outpatient, and the individual has left the hospital facility. </w:t>
      </w:r>
    </w:p>
    <w:p w14:paraId="277F3958" w14:textId="77777777" w:rsidR="004D4A20" w:rsidRDefault="004D4A20">
      <w:pPr>
        <w:ind w:left="-5"/>
      </w:pPr>
    </w:p>
    <w:p w14:paraId="057DF865" w14:textId="77777777" w:rsidR="00250200" w:rsidRDefault="004D4A20">
      <w:pPr>
        <w:spacing w:after="107" w:line="234" w:lineRule="auto"/>
        <w:ind w:left="-5" w:right="178"/>
        <w:jc w:val="both"/>
      </w:pPr>
      <w:r>
        <w:t xml:space="preserve">J.  </w:t>
      </w:r>
      <w:r>
        <w:rPr>
          <w:b/>
        </w:rPr>
        <w:t>Third Party Collection Vendor</w:t>
      </w:r>
      <w:r>
        <w:t xml:space="preserve">: A contracted company that collects a Patient Responsible Balance in Default on behalf of MFB but performs such collections under its own name following all Federal, State, and local laws and regulations.  </w:t>
      </w:r>
    </w:p>
    <w:p w14:paraId="4CAEEC85" w14:textId="77777777" w:rsidR="00250200" w:rsidRDefault="004D4A20">
      <w:pPr>
        <w:spacing w:after="0" w:line="259" w:lineRule="auto"/>
        <w:ind w:left="0" w:firstLine="0"/>
      </w:pPr>
      <w:r>
        <w:t xml:space="preserve"> </w:t>
      </w:r>
    </w:p>
    <w:p w14:paraId="6DB47C23" w14:textId="3A460E94" w:rsidR="00250200" w:rsidRDefault="004D4A20">
      <w:pPr>
        <w:pStyle w:val="Heading1"/>
        <w:ind w:left="-5"/>
      </w:pPr>
      <w:r w:rsidRPr="00BD5C4A">
        <w:rPr>
          <w:bCs/>
        </w:rPr>
        <w:t>I</w:t>
      </w:r>
      <w:r w:rsidR="00BD5C4A">
        <w:rPr>
          <w:bCs/>
        </w:rPr>
        <w:t>V</w:t>
      </w:r>
      <w:r w:rsidRPr="00BD5C4A">
        <w:rPr>
          <w:bCs/>
        </w:rPr>
        <w:t>.</w:t>
      </w:r>
      <w:r>
        <w:rPr>
          <w:b w:val="0"/>
        </w:rPr>
        <w:t xml:space="preserve"> </w:t>
      </w:r>
      <w:r>
        <w:t xml:space="preserve">Policy  </w:t>
      </w:r>
    </w:p>
    <w:p w14:paraId="400B320B" w14:textId="77777777" w:rsidR="00250200" w:rsidRDefault="004D4A20">
      <w:pPr>
        <w:numPr>
          <w:ilvl w:val="0"/>
          <w:numId w:val="2"/>
        </w:numPr>
        <w:ind w:right="108"/>
      </w:pPr>
      <w:r>
        <w:t xml:space="preserve">Under this policy, no extraordinary collection actions will be pursued against a patient, or patient guarantor, before reasonable efforts have been made to determine whether the patient, or patient guarantor, is eligible for assistance under the MFB Community Financial Assistance Policy.  </w:t>
      </w:r>
    </w:p>
    <w:p w14:paraId="088B960F" w14:textId="77777777" w:rsidR="00250200" w:rsidRDefault="004D4A20">
      <w:pPr>
        <w:spacing w:after="0" w:line="259" w:lineRule="auto"/>
        <w:ind w:left="0" w:firstLine="0"/>
      </w:pPr>
      <w:r>
        <w:t xml:space="preserve"> </w:t>
      </w:r>
    </w:p>
    <w:p w14:paraId="6E086A8E" w14:textId="77777777" w:rsidR="00250200" w:rsidRDefault="004D4A20">
      <w:pPr>
        <w:numPr>
          <w:ilvl w:val="0"/>
          <w:numId w:val="2"/>
        </w:numPr>
        <w:spacing w:line="234" w:lineRule="auto"/>
        <w:ind w:right="108"/>
      </w:pPr>
      <w:r>
        <w:t xml:space="preserve">Mary Free Bed Rehabilitation Hospital complies with applicable Federal civil rights laws and does not discriminate, exclude of treat people differently on the basis of race, color, national origin, age, disability, or sex, or source of payment.  The full Notice Informing Individuals About Nondiscrimination and Accessibility Requirements is available at all MFB locations and on the MFB website including availability in multiple languages. </w:t>
      </w:r>
    </w:p>
    <w:p w14:paraId="53ECB0C3" w14:textId="77777777" w:rsidR="00250200" w:rsidRDefault="004D4A20">
      <w:pPr>
        <w:spacing w:after="0" w:line="259" w:lineRule="auto"/>
        <w:ind w:left="0" w:firstLine="0"/>
      </w:pPr>
      <w:r>
        <w:t xml:space="preserve"> </w:t>
      </w:r>
    </w:p>
    <w:p w14:paraId="3A460753" w14:textId="77777777" w:rsidR="00250200" w:rsidRDefault="004D4A20">
      <w:pPr>
        <w:numPr>
          <w:ilvl w:val="0"/>
          <w:numId w:val="2"/>
        </w:numPr>
        <w:ind w:right="108"/>
      </w:pPr>
      <w:r>
        <w:t>This policy</w:t>
      </w:r>
      <w:r>
        <w:rPr>
          <w:b/>
        </w:rPr>
        <w:t xml:space="preserve">, </w:t>
      </w:r>
      <w:r>
        <w:rPr>
          <w:i/>
        </w:rPr>
        <w:t>Patient Responsible Balance Payment Policy and Procedures</w:t>
      </w:r>
      <w:r>
        <w:t xml:space="preserve">, and the </w:t>
      </w:r>
      <w:r>
        <w:rPr>
          <w:i/>
        </w:rPr>
        <w:t xml:space="preserve">Mary Free Bed Community Financial </w:t>
      </w:r>
      <w:r>
        <w:t xml:space="preserve">Assistance policy serve as the basis for collection of patient responsible balances and extraordinary collection action practices for patient accounts.  Please see </w:t>
      </w:r>
      <w:r>
        <w:rPr>
          <w:i/>
        </w:rPr>
        <w:t>Patient Responsible Balance Payment Policy and Procedures,</w:t>
      </w:r>
      <w:r>
        <w:t xml:space="preserve"> and the </w:t>
      </w:r>
      <w:r>
        <w:rPr>
          <w:i/>
        </w:rPr>
        <w:t>Mary Free Bed Community Financial Assistance policy</w:t>
      </w:r>
      <w:r>
        <w:t xml:space="preserve"> for information regarding payment options including payment plans and Community Financial Assistance. </w:t>
      </w:r>
    </w:p>
    <w:p w14:paraId="2B93D6DE" w14:textId="77777777" w:rsidR="00250200" w:rsidRDefault="004D4A20">
      <w:pPr>
        <w:spacing w:after="0" w:line="259" w:lineRule="auto"/>
        <w:ind w:left="0" w:firstLine="0"/>
      </w:pPr>
      <w:r>
        <w:t xml:space="preserve"> </w:t>
      </w:r>
    </w:p>
    <w:p w14:paraId="61A6C2B6" w14:textId="77777777" w:rsidR="00250200" w:rsidRDefault="004D4A20">
      <w:pPr>
        <w:numPr>
          <w:ilvl w:val="0"/>
          <w:numId w:val="2"/>
        </w:numPr>
        <w:spacing w:line="234" w:lineRule="auto"/>
        <w:ind w:right="108"/>
      </w:pPr>
      <w:r>
        <w:t xml:space="preserve">Mary Free Bed Rehabilitation Hospital will obtain insurance information from the patient, or patient guarantor, in order to bill the primary, secondary and tertiary insurances. Patients, or their guarantors, must cooperate and provide complete and accurate insurance information.    </w:t>
      </w:r>
    </w:p>
    <w:p w14:paraId="5588A592" w14:textId="77777777" w:rsidR="00250200" w:rsidRDefault="004D4A20">
      <w:pPr>
        <w:spacing w:after="0" w:line="259" w:lineRule="auto"/>
        <w:ind w:left="0" w:firstLine="0"/>
      </w:pPr>
      <w:r>
        <w:t xml:space="preserve">  </w:t>
      </w:r>
    </w:p>
    <w:p w14:paraId="7644A9A1" w14:textId="77777777" w:rsidR="00250200" w:rsidRDefault="004D4A20">
      <w:pPr>
        <w:numPr>
          <w:ilvl w:val="0"/>
          <w:numId w:val="2"/>
        </w:numPr>
        <w:ind w:right="108"/>
      </w:pPr>
      <w:r>
        <w:t xml:space="preserve">Mary Free Bed will bill the patient’s insurance company based on the assignment of benefits </w:t>
      </w:r>
      <w:r>
        <w:t xml:space="preserve">authorization signed by the patient/guarantor.  </w:t>
      </w:r>
    </w:p>
    <w:p w14:paraId="432C6C4A" w14:textId="77777777" w:rsidR="00250200" w:rsidRDefault="004D4A20">
      <w:pPr>
        <w:spacing w:after="0" w:line="259" w:lineRule="auto"/>
        <w:ind w:left="0" w:firstLine="0"/>
      </w:pPr>
      <w:r>
        <w:t xml:space="preserve"> </w:t>
      </w:r>
    </w:p>
    <w:p w14:paraId="1A4334D1" w14:textId="77777777" w:rsidR="00250200" w:rsidRDefault="004D4A20">
      <w:pPr>
        <w:numPr>
          <w:ilvl w:val="0"/>
          <w:numId w:val="2"/>
        </w:numPr>
        <w:ind w:right="108"/>
      </w:pPr>
      <w:r>
        <w:t xml:space="preserve">Mary Free Bed will inform patients, or patient guarantors, of the process by which they may question or dispute any bill they believe to be inaccurate. All disputes or billing inquiries will be responded to within five working days after receipt. Collection activities will be discontinued during the dispute resolution process.  </w:t>
      </w:r>
    </w:p>
    <w:p w14:paraId="1F4DF8EA" w14:textId="77777777" w:rsidR="00250200" w:rsidRDefault="004D4A20">
      <w:pPr>
        <w:spacing w:after="0" w:line="259" w:lineRule="auto"/>
        <w:ind w:left="0" w:firstLine="0"/>
      </w:pPr>
      <w:r>
        <w:t xml:space="preserve"> </w:t>
      </w:r>
    </w:p>
    <w:p w14:paraId="0D52EB53" w14:textId="77777777" w:rsidR="00250200" w:rsidRDefault="004D4A20">
      <w:pPr>
        <w:numPr>
          <w:ilvl w:val="0"/>
          <w:numId w:val="2"/>
        </w:numPr>
        <w:spacing w:line="234" w:lineRule="auto"/>
        <w:ind w:right="108"/>
      </w:pPr>
      <w:r>
        <w:t>Once a patient responsible balance is at or above $750, failure to make payment or adhere to the agreed-upon payment plan will result in cancellation of future appointments after reasonable efforts to collect and determine financial assistance need (see definition of reasonable efforts above and see CFA policy) are completed</w:t>
      </w:r>
      <w:r>
        <w:rPr>
          <w:color w:val="FF0000"/>
        </w:rPr>
        <w:t xml:space="preserve">. </w:t>
      </w:r>
    </w:p>
    <w:p w14:paraId="411A791D" w14:textId="77777777" w:rsidR="00250200" w:rsidRDefault="004D4A20">
      <w:pPr>
        <w:spacing w:after="0" w:line="259" w:lineRule="auto"/>
        <w:ind w:left="0" w:firstLine="0"/>
      </w:pPr>
      <w:r>
        <w:rPr>
          <w:color w:val="FF0000"/>
        </w:rPr>
        <w:t xml:space="preserve"> </w:t>
      </w:r>
    </w:p>
    <w:p w14:paraId="2FA51C96" w14:textId="77777777" w:rsidR="00250200" w:rsidRDefault="004D4A20">
      <w:pPr>
        <w:numPr>
          <w:ilvl w:val="0"/>
          <w:numId w:val="2"/>
        </w:numPr>
        <w:ind w:right="108"/>
      </w:pPr>
      <w:r>
        <w:t xml:space="preserve">Patient Responsible Balance accounts will not be subject to bad debt collection actions within 120 days of issuing the initial patient invoice and without first making reasonable efforts to determine whether that patient is eligible for Community Financial Assistance.  </w:t>
      </w:r>
    </w:p>
    <w:p w14:paraId="6C46722B" w14:textId="77777777" w:rsidR="00250200" w:rsidRDefault="004D4A20">
      <w:pPr>
        <w:spacing w:after="0" w:line="259" w:lineRule="auto"/>
        <w:ind w:left="0" w:firstLine="0"/>
      </w:pPr>
      <w:r>
        <w:t xml:space="preserve">  </w:t>
      </w:r>
    </w:p>
    <w:p w14:paraId="6596C6FE" w14:textId="77777777" w:rsidR="00250200" w:rsidRDefault="004D4A20">
      <w:pPr>
        <w:numPr>
          <w:ilvl w:val="0"/>
          <w:numId w:val="2"/>
        </w:numPr>
        <w:ind w:right="108"/>
      </w:pPr>
      <w:r>
        <w:t xml:space="preserve">The MFB policy does not allow harassing, abusive, oppressive, false, deceptive or misleading language or conduct to be used by its employees or collection agencies responsible for collecting patient responsibility balance accounts.  Any abusive, harassing, misleading language or improper collections conduct by MFB employees or collection agency staff will be subject to corrective action.  </w:t>
      </w:r>
    </w:p>
    <w:p w14:paraId="645CE35A" w14:textId="77777777" w:rsidR="00250200" w:rsidRDefault="004D4A20">
      <w:pPr>
        <w:spacing w:after="0" w:line="259" w:lineRule="auto"/>
        <w:ind w:left="0" w:firstLine="0"/>
      </w:pPr>
      <w:r>
        <w:t xml:space="preserve">  </w:t>
      </w:r>
    </w:p>
    <w:p w14:paraId="5A8ACECF" w14:textId="77777777" w:rsidR="00250200" w:rsidRDefault="004D4A20">
      <w:pPr>
        <w:numPr>
          <w:ilvl w:val="0"/>
          <w:numId w:val="2"/>
        </w:numPr>
        <w:ind w:right="108"/>
      </w:pPr>
      <w:r>
        <w:t xml:space="preserve">All collection agencies working on behalf of MFB will have in place a written contract that will specify that their collection processes must conform to MFB policies and all applicable Federal and Michigan laws and regulations.   A copy of the MFB Patient Responsible Balance Billing and Collection Policy and Procedures, and Community Financial Assistance Polices will be provided to collection agencies working with MFB patient responsibility balance accounts to assure compliance.    </w:t>
      </w:r>
    </w:p>
    <w:p w14:paraId="1A2CB03F" w14:textId="77777777" w:rsidR="00250200" w:rsidRDefault="004D4A20">
      <w:pPr>
        <w:spacing w:after="0" w:line="259" w:lineRule="auto"/>
        <w:ind w:left="0" w:firstLine="0"/>
      </w:pPr>
      <w:r>
        <w:t xml:space="preserve">  </w:t>
      </w:r>
    </w:p>
    <w:p w14:paraId="3F721A95" w14:textId="77777777" w:rsidR="00250200" w:rsidRDefault="004D4A20">
      <w:pPr>
        <w:numPr>
          <w:ilvl w:val="0"/>
          <w:numId w:val="2"/>
        </w:numPr>
        <w:ind w:right="108"/>
      </w:pPr>
      <w:r>
        <w:t>Legal action may be utilized by the collection agencies authorized by MFB to collect patient payment responsible balances.  These actions may be initiated against a patient, or patient guarantor, for nonpayment of a MFB payment responsible balance account in cases where all efforts to collect the debt are exhausted without resolution.  Mary Free Bed Rehabilitation Hospital may pursue legal action to recover the unpaid balance. Patients may be responsible for any legal fees or court costs associated with the</w:t>
      </w:r>
      <w:r>
        <w:t xml:space="preserve"> collection process. </w:t>
      </w:r>
    </w:p>
    <w:p w14:paraId="17729ABA" w14:textId="77777777" w:rsidR="00250200" w:rsidRDefault="004D4A20">
      <w:pPr>
        <w:spacing w:after="0" w:line="259" w:lineRule="auto"/>
        <w:ind w:left="0" w:firstLine="0"/>
      </w:pPr>
      <w:r>
        <w:t xml:space="preserve">  </w:t>
      </w:r>
    </w:p>
    <w:p w14:paraId="22A687D2" w14:textId="77777777" w:rsidR="00250200" w:rsidRDefault="004D4A20">
      <w:pPr>
        <w:numPr>
          <w:ilvl w:val="0"/>
          <w:numId w:val="2"/>
        </w:numPr>
        <w:ind w:right="108"/>
      </w:pPr>
      <w:r>
        <w:t>If a legal judgment is obtained, MFB and its collection agencies may pursue the post judgment remedies of periodic garnishment, also known as wage garnishment, and non-period garnishment, also known as bank or tax garnishment.  Liens on insurance settlements associated with the medical treatment provided by MFB, for which there is an outstanding balance, may also be pursued.  MFB and its collection agencies will not pursue the post judgment remedies of judgment liens against real property or personal proper</w:t>
      </w:r>
      <w:r>
        <w:t xml:space="preserve">ty executions.  MFB authorizes its collection agencies to report information on patient payment responsible balance accounts to consumer credit reporting agencies.  </w:t>
      </w:r>
    </w:p>
    <w:p w14:paraId="69B54A3E" w14:textId="77777777" w:rsidR="00250200" w:rsidRDefault="004D4A20">
      <w:pPr>
        <w:spacing w:after="0" w:line="259" w:lineRule="auto"/>
        <w:ind w:left="0" w:firstLine="0"/>
      </w:pPr>
      <w:r>
        <w:t xml:space="preserve">  </w:t>
      </w:r>
    </w:p>
    <w:p w14:paraId="6AEE2D3F" w14:textId="77777777" w:rsidR="00250200" w:rsidRDefault="004D4A20">
      <w:pPr>
        <w:numPr>
          <w:ilvl w:val="0"/>
          <w:numId w:val="2"/>
        </w:numPr>
        <w:ind w:right="108"/>
      </w:pPr>
      <w:r>
        <w:t xml:space="preserve">Third party collection agencies working on behalf of MFB will be monitored to assure compliance with the MFB Community Financial Assistance policy and this policy.   Regular audits are performed on accounts.  Patient, or guarantor, complaints will be tracked, monitored, and investigated.   </w:t>
      </w:r>
    </w:p>
    <w:p w14:paraId="4E4ACC56" w14:textId="77777777" w:rsidR="00250200" w:rsidRDefault="004D4A20">
      <w:pPr>
        <w:spacing w:after="0" w:line="259" w:lineRule="auto"/>
        <w:ind w:left="0" w:firstLine="0"/>
      </w:pPr>
      <w:r>
        <w:t xml:space="preserve">  </w:t>
      </w:r>
    </w:p>
    <w:p w14:paraId="268DE239" w14:textId="77777777" w:rsidR="00250200" w:rsidRDefault="004D4A20">
      <w:pPr>
        <w:numPr>
          <w:ilvl w:val="0"/>
          <w:numId w:val="2"/>
        </w:numPr>
        <w:ind w:right="108"/>
      </w:pPr>
      <w:r>
        <w:t xml:space="preserve">It is the policy of MFB to protect the confidentiality of each patient, or patient guarantor, regarding financial information and the handling of protected health information in accordance with the Health Insurance Portability and Accountability Act (HIPAA).  </w:t>
      </w:r>
    </w:p>
    <w:p w14:paraId="2C2C7C86" w14:textId="77777777" w:rsidR="00250200" w:rsidRDefault="004D4A20">
      <w:pPr>
        <w:spacing w:after="0" w:line="259" w:lineRule="auto"/>
        <w:ind w:left="0" w:firstLine="0"/>
      </w:pPr>
      <w:r>
        <w:t xml:space="preserve"> </w:t>
      </w:r>
    </w:p>
    <w:p w14:paraId="41B1F606" w14:textId="77777777" w:rsidR="00250200" w:rsidRDefault="004D4A20">
      <w:pPr>
        <w:numPr>
          <w:ilvl w:val="0"/>
          <w:numId w:val="2"/>
        </w:numPr>
        <w:ind w:right="108"/>
      </w:pPr>
      <w:r>
        <w:t xml:space="preserve">Mary Free Bed Rehabilitation Hospital will comply with all Federal and Michigan laws rules and regulations and reporting requirements that may apply to activities conducted pursuant this policy.  Information on the billing and collection practices provided under this policy will be reported annually on the IRS Form 990 Schedule H.  </w:t>
      </w:r>
    </w:p>
    <w:p w14:paraId="633819BF" w14:textId="77777777" w:rsidR="00250200" w:rsidRDefault="004D4A20">
      <w:pPr>
        <w:spacing w:after="0" w:line="259" w:lineRule="auto"/>
        <w:ind w:left="0" w:firstLine="0"/>
      </w:pPr>
      <w:r>
        <w:t xml:space="preserve">  </w:t>
      </w:r>
    </w:p>
    <w:p w14:paraId="7A409EDB" w14:textId="2CAA1CB5" w:rsidR="00250200" w:rsidRDefault="004D4A20">
      <w:pPr>
        <w:pStyle w:val="Heading1"/>
        <w:ind w:left="-5"/>
      </w:pPr>
      <w:r w:rsidRPr="00BD5C4A">
        <w:rPr>
          <w:bCs/>
        </w:rPr>
        <w:t>V.</w:t>
      </w:r>
      <w:r>
        <w:rPr>
          <w:b w:val="0"/>
        </w:rPr>
        <w:t xml:space="preserve">  </w:t>
      </w:r>
      <w:r>
        <w:t>Procedure</w:t>
      </w:r>
      <w:r>
        <w:rPr>
          <w:b w:val="0"/>
        </w:rPr>
        <w:t xml:space="preserve">  </w:t>
      </w:r>
    </w:p>
    <w:p w14:paraId="1C1B3C09" w14:textId="77777777" w:rsidR="00250200" w:rsidRDefault="004D4A20">
      <w:pPr>
        <w:numPr>
          <w:ilvl w:val="0"/>
          <w:numId w:val="3"/>
        </w:numPr>
        <w:ind w:right="108" w:hanging="225"/>
      </w:pPr>
      <w:r>
        <w:t xml:space="preserve">Revenue Cycle personnel must document dates and actions associated with reasonable efforts to collect payments and determine financial assistance need before initiating extraordinary collections actions. </w:t>
      </w:r>
    </w:p>
    <w:p w14:paraId="5BDADE24" w14:textId="28639291" w:rsidR="00250200" w:rsidRDefault="004D4A20">
      <w:pPr>
        <w:numPr>
          <w:ilvl w:val="1"/>
          <w:numId w:val="3"/>
        </w:numPr>
        <w:ind w:right="193" w:hanging="255"/>
      </w:pPr>
      <w:r>
        <w:t xml:space="preserve">If an </w:t>
      </w:r>
      <w:proofErr w:type="spellStart"/>
      <w:r>
        <w:t>ECA</w:t>
      </w:r>
      <w:proofErr w:type="spellEnd"/>
      <w:r>
        <w:t xml:space="preserve"> is determined to be considered for cancellation of future clinical appointments, the</w:t>
      </w:r>
      <w:r>
        <w:t xml:space="preserve"> referring provider will be notified and considered in decision-making process on </w:t>
      </w:r>
      <w:proofErr w:type="spellStart"/>
      <w:r>
        <w:t>ECA</w:t>
      </w:r>
      <w:proofErr w:type="spellEnd"/>
      <w:r>
        <w:t xml:space="preserve"> implementation. </w:t>
      </w:r>
    </w:p>
    <w:p w14:paraId="7688DFBE" w14:textId="12CEF397" w:rsidR="00250200" w:rsidRDefault="004D4A20">
      <w:pPr>
        <w:numPr>
          <w:ilvl w:val="1"/>
          <w:numId w:val="3"/>
        </w:numPr>
        <w:spacing w:after="0" w:line="259" w:lineRule="auto"/>
        <w:ind w:right="193" w:hanging="255"/>
      </w:pPr>
      <w:r>
        <w:t>C</w:t>
      </w:r>
      <w:r w:rsidR="00BD5C4A">
        <w:t xml:space="preserve">hief Financial </w:t>
      </w:r>
      <w:r>
        <w:t>O</w:t>
      </w:r>
      <w:r w:rsidR="00BD5C4A">
        <w:t>fficer</w:t>
      </w:r>
      <w:r>
        <w:t xml:space="preserve"> and C</w:t>
      </w:r>
      <w:r w:rsidR="00BD5C4A">
        <w:t xml:space="preserve">hief </w:t>
      </w:r>
      <w:r>
        <w:t>M</w:t>
      </w:r>
      <w:r w:rsidR="00BD5C4A">
        <w:t xml:space="preserve">edical </w:t>
      </w:r>
      <w:r>
        <w:t>O</w:t>
      </w:r>
      <w:r w:rsidR="00BD5C4A">
        <w:t>fficer</w:t>
      </w:r>
      <w:r>
        <w:t xml:space="preserve"> will make joint final decision on cancellation of future appointments. </w:t>
      </w:r>
    </w:p>
    <w:p w14:paraId="7BFC85F7" w14:textId="77777777" w:rsidR="00250200" w:rsidRDefault="004D4A20">
      <w:pPr>
        <w:spacing w:after="0" w:line="259" w:lineRule="auto"/>
        <w:ind w:left="0" w:firstLine="0"/>
      </w:pPr>
      <w:r>
        <w:t xml:space="preserve"> </w:t>
      </w:r>
    </w:p>
    <w:p w14:paraId="21AC3E02" w14:textId="77777777" w:rsidR="00250200" w:rsidRDefault="004D4A20">
      <w:pPr>
        <w:numPr>
          <w:ilvl w:val="0"/>
          <w:numId w:val="3"/>
        </w:numPr>
        <w:ind w:right="108" w:hanging="225"/>
      </w:pPr>
      <w:r>
        <w:t xml:space="preserve">Patient Payment options are found in Patient Responsible Balance Payment Policy and Procedures </w:t>
      </w:r>
    </w:p>
    <w:p w14:paraId="67D38E25" w14:textId="77777777" w:rsidR="00250200" w:rsidRDefault="004D4A20">
      <w:pPr>
        <w:spacing w:after="0" w:line="259" w:lineRule="auto"/>
        <w:ind w:left="0" w:firstLine="0"/>
      </w:pPr>
      <w:r>
        <w:rPr>
          <w:rFonts w:ascii="Times New Roman" w:eastAsia="Times New Roman" w:hAnsi="Times New Roman" w:cs="Times New Roman"/>
          <w:sz w:val="24"/>
        </w:rPr>
        <w:t xml:space="preserve"> </w:t>
      </w:r>
    </w:p>
    <w:p w14:paraId="3A00FCDB" w14:textId="77777777" w:rsidR="00250200" w:rsidRDefault="004D4A20">
      <w:pPr>
        <w:numPr>
          <w:ilvl w:val="0"/>
          <w:numId w:val="3"/>
        </w:numPr>
        <w:ind w:right="108" w:hanging="225"/>
      </w:pPr>
      <w:r>
        <w:t xml:space="preserve">CFA:  please refer to Community Financial Assistance Policy and Procedures for  </w:t>
      </w:r>
    </w:p>
    <w:p w14:paraId="52F1281D" w14:textId="32C2E3EC" w:rsidR="00250200" w:rsidRDefault="004D4A20">
      <w:pPr>
        <w:ind w:left="-5" w:right="108"/>
      </w:pPr>
      <w:r>
        <w:t xml:space="preserve">policy </w:t>
      </w:r>
      <w:r w:rsidR="00BD5C4A">
        <w:t xml:space="preserve">and </w:t>
      </w:r>
      <w:r>
        <w:t xml:space="preserve">CFA application process. </w:t>
      </w:r>
    </w:p>
    <w:p w14:paraId="089CB01D" w14:textId="77777777" w:rsidR="00250200" w:rsidRDefault="004D4A20">
      <w:pPr>
        <w:spacing w:after="0" w:line="259" w:lineRule="auto"/>
        <w:ind w:left="0" w:firstLine="0"/>
      </w:pPr>
      <w:r>
        <w:rPr>
          <w:rFonts w:ascii="Times New Roman" w:eastAsia="Times New Roman" w:hAnsi="Times New Roman" w:cs="Times New Roman"/>
          <w:sz w:val="24"/>
        </w:rPr>
        <w:t xml:space="preserve"> </w:t>
      </w:r>
    </w:p>
    <w:p w14:paraId="7E1CF843" w14:textId="77777777" w:rsidR="00250200" w:rsidRDefault="004D4A20">
      <w:pPr>
        <w:numPr>
          <w:ilvl w:val="0"/>
          <w:numId w:val="3"/>
        </w:numPr>
        <w:ind w:right="108" w:hanging="225"/>
      </w:pPr>
      <w:r>
        <w:t xml:space="preserve">Billing and Collections procedures are outlined in detail in the internal MFB Billing and  </w:t>
      </w:r>
    </w:p>
    <w:p w14:paraId="4C20F3B2" w14:textId="1801D47F" w:rsidR="00250200" w:rsidRDefault="004D4A20" w:rsidP="00BD5C4A">
      <w:pPr>
        <w:ind w:left="-5" w:right="108"/>
      </w:pPr>
      <w:r>
        <w:t>Collections procedure manuals. These manuals identify the billing and collection processes that are shared by, and individual to, each department.  They are also specific to current Electronic Medical Record (</w:t>
      </w:r>
      <w:proofErr w:type="spellStart"/>
      <w:r>
        <w:t>EMR</w:t>
      </w:r>
      <w:proofErr w:type="spellEnd"/>
      <w:r>
        <w:t>)</w:t>
      </w:r>
      <w:r>
        <w:t xml:space="preserve">, billing clearinghouse, third party payor contracts, and third-party collection vendor workflows and processes. </w:t>
      </w:r>
      <w:r>
        <w:t xml:space="preserve"> These procedures are fluid and may change without notice for reasons including but not limited to </w:t>
      </w:r>
      <w:proofErr w:type="spellStart"/>
      <w:r>
        <w:t>EMR</w:t>
      </w:r>
      <w:proofErr w:type="spellEnd"/>
      <w:r>
        <w:t xml:space="preserve"> changes, clearinghouse procedure changes, payor policy or contract changes, and third-party collection vendor policy or contract changes. </w:t>
      </w:r>
    </w:p>
    <w:p w14:paraId="2731D586" w14:textId="77777777" w:rsidR="00250200" w:rsidRDefault="004D4A20">
      <w:pPr>
        <w:spacing w:line="259" w:lineRule="auto"/>
        <w:ind w:left="360" w:firstLine="0"/>
      </w:pPr>
      <w:r>
        <w:rPr>
          <w:rFonts w:ascii="Arial" w:eastAsia="Arial" w:hAnsi="Arial" w:cs="Arial"/>
          <w:b/>
          <w:sz w:val="24"/>
        </w:rPr>
        <w:t xml:space="preserve"> </w:t>
      </w:r>
    </w:p>
    <w:p w14:paraId="7DD93049" w14:textId="3A753138" w:rsidR="00250200" w:rsidRDefault="00250200">
      <w:pPr>
        <w:spacing w:after="0" w:line="259" w:lineRule="auto"/>
        <w:ind w:left="0" w:firstLine="0"/>
      </w:pPr>
    </w:p>
    <w:p w14:paraId="101E6020" w14:textId="77777777" w:rsidR="00250200" w:rsidRDefault="004D4A20">
      <w:pPr>
        <w:spacing w:after="0" w:line="259" w:lineRule="auto"/>
        <w:ind w:left="0" w:firstLine="0"/>
      </w:pPr>
      <w:r>
        <w:rPr>
          <w:rFonts w:ascii="Times New Roman" w:eastAsia="Times New Roman" w:hAnsi="Times New Roman" w:cs="Times New Roman"/>
          <w:sz w:val="24"/>
        </w:rPr>
        <w:t xml:space="preserve"> </w:t>
      </w:r>
    </w:p>
    <w:sectPr w:rsidR="00250200">
      <w:pgSz w:w="12240" w:h="15840"/>
      <w:pgMar w:top="771" w:right="1292" w:bottom="1456"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436B8"/>
    <w:multiLevelType w:val="hybridMultilevel"/>
    <w:tmpl w:val="CBB6C1EC"/>
    <w:lvl w:ilvl="0" w:tplc="19C2AB8A">
      <w:start w:val="1"/>
      <w:numFmt w:val="upp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2828F6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0F4282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0FE81E6">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8E6C05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5D0F24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218B92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4B8F9A0">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2CC2FB0">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66CC628D"/>
    <w:multiLevelType w:val="hybridMultilevel"/>
    <w:tmpl w:val="2D42B88C"/>
    <w:lvl w:ilvl="0" w:tplc="7E1EDEE0">
      <w:start w:val="1"/>
      <w:numFmt w:val="lowerLetter"/>
      <w:lvlText w:val="%1."/>
      <w:lvlJc w:val="left"/>
      <w:pPr>
        <w:ind w:left="2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44ADB22">
      <w:start w:val="1"/>
      <w:numFmt w:val="lowerRoman"/>
      <w:lvlText w:val="%2."/>
      <w:lvlJc w:val="left"/>
      <w:pPr>
        <w:ind w:left="9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6363F6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7822BEA">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8F20E3E">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C0449C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6C651B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F423132">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EEAC4B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7AB41791"/>
    <w:multiLevelType w:val="hybridMultilevel"/>
    <w:tmpl w:val="94DE7588"/>
    <w:lvl w:ilvl="0" w:tplc="6D4C8B08">
      <w:start w:val="1"/>
      <w:numFmt w:val="upperLetter"/>
      <w:lvlText w:val="%1."/>
      <w:lvlJc w:val="left"/>
      <w:pPr>
        <w:ind w:left="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9C88FCA">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B767460">
      <w:start w:val="1"/>
      <w:numFmt w:val="bullet"/>
      <w:lvlText w:val="▪"/>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53A8162">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61AE12C">
      <w:start w:val="1"/>
      <w:numFmt w:val="bullet"/>
      <w:lvlText w:val="o"/>
      <w:lvlJc w:val="left"/>
      <w:pPr>
        <w:ind w:left="2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E66424A">
      <w:start w:val="1"/>
      <w:numFmt w:val="bullet"/>
      <w:lvlText w:val="▪"/>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5A8B184">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9E24DA0">
      <w:start w:val="1"/>
      <w:numFmt w:val="bullet"/>
      <w:lvlText w:val="o"/>
      <w:lvlJc w:val="left"/>
      <w:pPr>
        <w:ind w:left="50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C260F1C">
      <w:start w:val="1"/>
      <w:numFmt w:val="bullet"/>
      <w:lvlText w:val="▪"/>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93132216">
    <w:abstractNumId w:val="2"/>
  </w:num>
  <w:num w:numId="2" w16cid:durableId="1362514788">
    <w:abstractNumId w:val="0"/>
  </w:num>
  <w:num w:numId="3" w16cid:durableId="15284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00"/>
    <w:rsid w:val="00250200"/>
    <w:rsid w:val="004D4A20"/>
    <w:rsid w:val="00680ECD"/>
    <w:rsid w:val="00BD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AA76"/>
  <w15:docId w15:val="{F4821E9A-A9D5-458D-AECC-6A40AA82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sz w:val="23"/>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McWain</dc:creator>
  <cp:keywords/>
  <cp:lastModifiedBy>Jennifer McWain</cp:lastModifiedBy>
  <cp:revision>2</cp:revision>
  <dcterms:created xsi:type="dcterms:W3CDTF">2026-01-27T19:22:00Z</dcterms:created>
  <dcterms:modified xsi:type="dcterms:W3CDTF">2026-01-27T19:22:00Z</dcterms:modified>
</cp:coreProperties>
</file>